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98" w:rsidRPr="00A178C5" w:rsidRDefault="00E66E98" w:rsidP="00E66E98">
      <w:pPr>
        <w:rPr>
          <w:rFonts w:ascii="Verdana" w:hAnsi="Verdana"/>
          <w:b/>
          <w:bCs/>
          <w:sz w:val="20"/>
          <w:szCs w:val="20"/>
          <w:u w:val="single"/>
        </w:rPr>
      </w:pPr>
      <w:r w:rsidRPr="00A178C5">
        <w:rPr>
          <w:rFonts w:ascii="Verdana" w:hAnsi="Verdana"/>
          <w:b/>
          <w:bCs/>
          <w:sz w:val="20"/>
          <w:szCs w:val="20"/>
          <w:u w:val="single"/>
        </w:rPr>
        <w:t xml:space="preserve">GREATER CAMBRIDGE LOCAL PLAN (GCLP) – FIRST PROPOSALS </w:t>
      </w:r>
    </w:p>
    <w:p w:rsidR="00E66E98" w:rsidRPr="00A178C5" w:rsidRDefault="00E66E98" w:rsidP="00E66E98">
      <w:pPr>
        <w:rPr>
          <w:rFonts w:ascii="Verdana" w:hAnsi="Verdana"/>
          <w:b/>
          <w:bCs/>
          <w:sz w:val="20"/>
          <w:szCs w:val="20"/>
          <w:u w:val="single"/>
        </w:rPr>
      </w:pPr>
      <w:r w:rsidRPr="00A178C5">
        <w:rPr>
          <w:rFonts w:ascii="Verdana" w:hAnsi="Verdana"/>
          <w:b/>
          <w:bCs/>
          <w:sz w:val="20"/>
          <w:szCs w:val="20"/>
          <w:u w:val="single"/>
        </w:rPr>
        <w:t>REGULATION 18: PREFERRED OPTIONS</w:t>
      </w:r>
    </w:p>
    <w:p w:rsidR="00E66E98" w:rsidRPr="00A178C5" w:rsidRDefault="00E66E98" w:rsidP="00E66E98">
      <w:pPr>
        <w:rPr>
          <w:rFonts w:ascii="Verdana" w:hAnsi="Verdana"/>
          <w:b/>
          <w:bCs/>
          <w:sz w:val="20"/>
          <w:szCs w:val="20"/>
          <w:u w:val="single"/>
        </w:rPr>
      </w:pPr>
      <w:r w:rsidRPr="00A178C5">
        <w:rPr>
          <w:rFonts w:ascii="Verdana" w:hAnsi="Verdana"/>
          <w:b/>
          <w:bCs/>
          <w:sz w:val="20"/>
          <w:szCs w:val="20"/>
          <w:u w:val="single"/>
        </w:rPr>
        <w:t xml:space="preserve">REPRESENTATIONS: BLETSOES – VARIOUS CLIENTS   </w:t>
      </w:r>
    </w:p>
    <w:p w:rsidR="00E66E98" w:rsidRPr="00A178C5" w:rsidRDefault="00E66E98" w:rsidP="00E66E98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66E98" w:rsidRPr="00A178C5" w:rsidRDefault="00E66E98" w:rsidP="00E66E98">
      <w:pPr>
        <w:rPr>
          <w:rFonts w:ascii="Verdana" w:hAnsi="Verdana"/>
          <w:b/>
          <w:bCs/>
          <w:sz w:val="20"/>
          <w:szCs w:val="20"/>
          <w:u w:val="single"/>
        </w:rPr>
      </w:pPr>
      <w:r w:rsidRPr="00A178C5">
        <w:rPr>
          <w:rFonts w:ascii="Verdana" w:hAnsi="Verdana"/>
          <w:b/>
          <w:bCs/>
          <w:sz w:val="20"/>
          <w:szCs w:val="20"/>
          <w:u w:val="single"/>
        </w:rPr>
        <w:t>INTRODUCTION</w:t>
      </w:r>
    </w:p>
    <w:p w:rsidR="00C044D8" w:rsidRDefault="00C044D8" w:rsidP="00C044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act for </w:t>
      </w:r>
      <w:r>
        <w:rPr>
          <w:rFonts w:ascii="Verdana" w:hAnsi="Verdana"/>
          <w:noProof/>
          <w:sz w:val="20"/>
          <w:szCs w:val="20"/>
          <w:lang w:eastAsia="en-GB"/>
        </w:rPr>
        <w:t>various landowning clients and we are promoting sites in their owner</w:t>
      </w:r>
      <w:r w:rsidR="009B1AAB">
        <w:rPr>
          <w:rFonts w:ascii="Verdana" w:hAnsi="Verdana"/>
          <w:noProof/>
          <w:sz w:val="20"/>
          <w:szCs w:val="20"/>
          <w:lang w:eastAsia="en-GB"/>
        </w:rPr>
        <w:t>s</w:t>
      </w:r>
      <w:bookmarkStart w:id="0" w:name="_GoBack"/>
      <w:bookmarkEnd w:id="0"/>
      <w:r>
        <w:rPr>
          <w:rFonts w:ascii="Verdana" w:hAnsi="Verdana"/>
          <w:noProof/>
          <w:sz w:val="20"/>
          <w:szCs w:val="20"/>
          <w:lang w:eastAsia="en-GB"/>
        </w:rPr>
        <w:t>hip for residential development (please see separate representations to chapter S/RRA Allocations in the Rest of the Rural Area).</w:t>
      </w:r>
    </w:p>
    <w:p w:rsidR="00E66E98" w:rsidRPr="00A178C5" w:rsidRDefault="00E66E98" w:rsidP="00E66E98">
      <w:pPr>
        <w:pStyle w:val="ListParagraph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:rsidR="00E66E98" w:rsidRPr="00A178C5" w:rsidRDefault="00E66E98" w:rsidP="00C044D8">
      <w:pPr>
        <w:pStyle w:val="ListParagraph"/>
        <w:widowControl w:val="0"/>
        <w:numPr>
          <w:ilvl w:val="0"/>
          <w:numId w:val="5"/>
        </w:numPr>
        <w:spacing w:after="200" w:line="360" w:lineRule="auto"/>
        <w:ind w:left="709" w:hanging="283"/>
        <w:jc w:val="both"/>
        <w:rPr>
          <w:rFonts w:ascii="Verdana" w:eastAsia="Calibri" w:hAnsi="Verdana" w:cs="Times New Roman"/>
          <w:sz w:val="20"/>
          <w:szCs w:val="20"/>
          <w:lang w:eastAsia="en-GB"/>
        </w:rPr>
      </w:pPr>
      <w:r w:rsidRPr="00A178C5">
        <w:rPr>
          <w:rFonts w:ascii="Verdana" w:hAnsi="Verdana"/>
          <w:sz w:val="20"/>
          <w:szCs w:val="20"/>
        </w:rPr>
        <w:t>On behalf of our clients, we make the following comments on the Regulation 18 Preferred Options Consultation.</w:t>
      </w:r>
      <w:r w:rsidRPr="00A178C5">
        <w:rPr>
          <w:rFonts w:ascii="Verdana" w:eastAsia="Calibri" w:hAnsi="Verdana" w:cs="Times New Roman"/>
          <w:sz w:val="20"/>
          <w:szCs w:val="20"/>
          <w:lang w:eastAsia="en-GB"/>
        </w:rPr>
        <w:t xml:space="preserve"> </w:t>
      </w:r>
    </w:p>
    <w:p w:rsidR="00E66E98" w:rsidRPr="00A178C5" w:rsidRDefault="00E66E98" w:rsidP="00E66E98">
      <w:pPr>
        <w:rPr>
          <w:rFonts w:ascii="Verdana" w:hAnsi="Verdana"/>
          <w:b/>
          <w:bCs/>
          <w:sz w:val="20"/>
          <w:szCs w:val="20"/>
          <w:u w:val="single"/>
        </w:rPr>
      </w:pPr>
      <w:r w:rsidRPr="00A178C5">
        <w:rPr>
          <w:rFonts w:ascii="Verdana" w:hAnsi="Verdana"/>
          <w:b/>
          <w:bCs/>
          <w:sz w:val="20"/>
          <w:szCs w:val="20"/>
          <w:u w:val="single"/>
        </w:rPr>
        <w:t>S/SH: SETTLEMENT HIERARCHY</w:t>
      </w:r>
    </w:p>
    <w:p w:rsidR="00E66E98" w:rsidRPr="00A178C5" w:rsidRDefault="00E66E98" w:rsidP="00E66E98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66E98" w:rsidRPr="00A178C5" w:rsidRDefault="00167CD0" w:rsidP="00E66E98">
      <w:pPr>
        <w:widowControl w:val="0"/>
        <w:numPr>
          <w:ilvl w:val="0"/>
          <w:numId w:val="3"/>
        </w:numPr>
        <w:spacing w:after="480" w:line="360" w:lineRule="auto"/>
        <w:jc w:val="both"/>
        <w:outlineLvl w:val="1"/>
        <w:rPr>
          <w:rFonts w:ascii="Verdana" w:eastAsia="Times New Roman" w:hAnsi="Verdana" w:cs="Arial"/>
          <w:bCs/>
          <w:iCs/>
          <w:sz w:val="20"/>
          <w:szCs w:val="20"/>
          <w:u w:val="single"/>
        </w:rPr>
      </w:pPr>
      <w:r>
        <w:rPr>
          <w:rFonts w:ascii="Verdana" w:eastAsia="Times New Roman" w:hAnsi="Verdana" w:cs="Arial"/>
          <w:bCs/>
          <w:iCs/>
          <w:sz w:val="20"/>
          <w:szCs w:val="20"/>
        </w:rPr>
        <w:t>The settlement hierarchy should be reconsidered in terms of the roles that settlements play in terms of service provision for neighbouring settlements</w:t>
      </w:r>
      <w:r w:rsidR="00E66E98" w:rsidRPr="00A178C5">
        <w:rPr>
          <w:rFonts w:ascii="Verdana" w:eastAsia="Times New Roman" w:hAnsi="Verdana" w:cs="Arial"/>
          <w:bCs/>
          <w:iCs/>
          <w:sz w:val="20"/>
          <w:szCs w:val="20"/>
        </w:rPr>
        <w:t>.</w:t>
      </w:r>
      <w:r>
        <w:rPr>
          <w:rFonts w:ascii="Verdana" w:eastAsia="Times New Roman" w:hAnsi="Verdana" w:cs="Arial"/>
          <w:bCs/>
          <w:iCs/>
          <w:sz w:val="20"/>
          <w:szCs w:val="20"/>
        </w:rPr>
        <w:t xml:space="preserve">  For example </w:t>
      </w:r>
      <w:proofErr w:type="spellStart"/>
      <w:r>
        <w:rPr>
          <w:rFonts w:ascii="Verdana" w:eastAsia="Times New Roman" w:hAnsi="Verdana" w:cs="Arial"/>
          <w:bCs/>
          <w:iCs/>
          <w:sz w:val="20"/>
          <w:szCs w:val="20"/>
        </w:rPr>
        <w:t>Comberton</w:t>
      </w:r>
      <w:proofErr w:type="spellEnd"/>
      <w:r>
        <w:rPr>
          <w:rFonts w:ascii="Verdana" w:eastAsia="Times New Roman" w:hAnsi="Verdana" w:cs="Arial"/>
          <w:bCs/>
          <w:iCs/>
          <w:sz w:val="20"/>
          <w:szCs w:val="20"/>
        </w:rPr>
        <w:t xml:space="preserve"> hosts a very successful Village College which provides support for the wider area.  In addition the GCLP should also consider settlements proximity to other settlements that offer a range of services.  For example the </w:t>
      </w:r>
      <w:proofErr w:type="spellStart"/>
      <w:r>
        <w:rPr>
          <w:rFonts w:ascii="Verdana" w:eastAsia="Times New Roman" w:hAnsi="Verdana" w:cs="Arial"/>
          <w:bCs/>
          <w:iCs/>
          <w:sz w:val="20"/>
          <w:szCs w:val="20"/>
        </w:rPr>
        <w:t>Eversdens</w:t>
      </w:r>
      <w:proofErr w:type="spellEnd"/>
      <w:r>
        <w:rPr>
          <w:rFonts w:ascii="Verdana" w:eastAsia="Times New Roman" w:hAnsi="Verdana" w:cs="Arial"/>
          <w:bCs/>
          <w:iCs/>
          <w:sz w:val="20"/>
          <w:szCs w:val="20"/>
        </w:rPr>
        <w:t xml:space="preserve"> are close to </w:t>
      </w:r>
      <w:proofErr w:type="spellStart"/>
      <w:r>
        <w:rPr>
          <w:rFonts w:ascii="Verdana" w:eastAsia="Times New Roman" w:hAnsi="Verdana" w:cs="Arial"/>
          <w:bCs/>
          <w:iCs/>
          <w:sz w:val="20"/>
          <w:szCs w:val="20"/>
        </w:rPr>
        <w:t>Comberton</w:t>
      </w:r>
      <w:proofErr w:type="spellEnd"/>
      <w:r>
        <w:rPr>
          <w:rFonts w:ascii="Verdana" w:eastAsia="Times New Roman" w:hAnsi="Verdana" w:cs="Arial"/>
          <w:bCs/>
          <w:iCs/>
          <w:sz w:val="20"/>
          <w:szCs w:val="20"/>
        </w:rPr>
        <w:t xml:space="preserve"> and so benefit from easy access to a range of services.  Closely proximate settlements should also </w:t>
      </w:r>
      <w:r w:rsidR="00B40472">
        <w:rPr>
          <w:rFonts w:ascii="Verdana" w:eastAsia="Times New Roman" w:hAnsi="Verdana" w:cs="Arial"/>
          <w:bCs/>
          <w:iCs/>
          <w:sz w:val="20"/>
          <w:szCs w:val="20"/>
        </w:rPr>
        <w:t xml:space="preserve">be analysed for the service provision that they provide on a combined basis rather than looking at each settlement individually. </w:t>
      </w:r>
      <w:r>
        <w:rPr>
          <w:rFonts w:ascii="Verdana" w:eastAsia="Times New Roman" w:hAnsi="Verdana" w:cs="Arial"/>
          <w:bCs/>
          <w:iCs/>
          <w:sz w:val="20"/>
          <w:szCs w:val="20"/>
        </w:rPr>
        <w:t xml:space="preserve">    </w:t>
      </w:r>
      <w:r w:rsidR="00E66E98" w:rsidRPr="00A178C5">
        <w:rPr>
          <w:rFonts w:ascii="Verdana" w:eastAsia="Times New Roman" w:hAnsi="Verdana" w:cs="Arial"/>
          <w:bCs/>
          <w:iCs/>
          <w:sz w:val="20"/>
          <w:szCs w:val="20"/>
        </w:rPr>
        <w:t xml:space="preserve"> </w:t>
      </w:r>
    </w:p>
    <w:p w:rsidR="00E66E98" w:rsidRPr="00A178C5" w:rsidRDefault="00B40472" w:rsidP="00E66E98">
      <w:pPr>
        <w:widowControl w:val="0"/>
        <w:numPr>
          <w:ilvl w:val="0"/>
          <w:numId w:val="3"/>
        </w:numPr>
        <w:spacing w:after="480" w:line="360" w:lineRule="auto"/>
        <w:jc w:val="both"/>
        <w:outlineLvl w:val="1"/>
        <w:rPr>
          <w:rFonts w:ascii="Verdana" w:eastAsia="Calibri" w:hAnsi="Verdana" w:cs="Times New Roman"/>
          <w:sz w:val="20"/>
          <w:szCs w:val="20"/>
          <w:lang w:eastAsia="en-GB"/>
        </w:rPr>
      </w:pPr>
      <w:r>
        <w:rPr>
          <w:rFonts w:ascii="Verdana" w:eastAsia="Calibri" w:hAnsi="Verdana" w:cs="Times New Roman"/>
          <w:sz w:val="20"/>
          <w:szCs w:val="20"/>
          <w:lang w:eastAsia="en-GB"/>
        </w:rPr>
        <w:t xml:space="preserve">To ensure service provision is maintained and enhanced the rural settlements </w:t>
      </w:r>
      <w:r w:rsidR="00E66E98" w:rsidRPr="00A178C5">
        <w:rPr>
          <w:rFonts w:ascii="Verdana" w:eastAsia="Calibri" w:hAnsi="Verdana" w:cs="Times New Roman"/>
          <w:sz w:val="20"/>
          <w:szCs w:val="20"/>
          <w:lang w:eastAsia="en-GB"/>
        </w:rPr>
        <w:t>should be considered for housing allocations</w:t>
      </w:r>
      <w:r>
        <w:rPr>
          <w:rFonts w:ascii="Verdana" w:eastAsia="Calibri" w:hAnsi="Verdana" w:cs="Times New Roman"/>
          <w:sz w:val="20"/>
          <w:szCs w:val="20"/>
          <w:lang w:eastAsia="en-GB"/>
        </w:rPr>
        <w:t xml:space="preserve"> proportionate to the size of the settlements</w:t>
      </w:r>
      <w:r w:rsidR="00E66E98" w:rsidRPr="00A178C5">
        <w:rPr>
          <w:rFonts w:ascii="Verdana" w:eastAsia="Calibri" w:hAnsi="Verdana" w:cs="Times New Roman"/>
          <w:sz w:val="20"/>
          <w:szCs w:val="20"/>
          <w:lang w:eastAsia="en-GB"/>
        </w:rPr>
        <w:t xml:space="preserve">.  </w:t>
      </w:r>
      <w:r>
        <w:rPr>
          <w:rFonts w:ascii="Verdana" w:eastAsia="Calibri" w:hAnsi="Verdana" w:cs="Times New Roman"/>
          <w:sz w:val="20"/>
          <w:szCs w:val="20"/>
          <w:lang w:eastAsia="en-GB"/>
        </w:rPr>
        <w:t>Appropriately sized allocations</w:t>
      </w:r>
      <w:r w:rsidR="00E66E98" w:rsidRPr="00A178C5">
        <w:rPr>
          <w:rFonts w:ascii="Verdana" w:eastAsia="Calibri" w:hAnsi="Verdana" w:cs="Times New Roman"/>
          <w:sz w:val="20"/>
          <w:szCs w:val="20"/>
          <w:lang w:eastAsia="en-GB"/>
        </w:rPr>
        <w:t xml:space="preserve"> that are well related to the existing form of the settlement will help to deliver a broader range of housing stock including affordable housing.</w:t>
      </w:r>
    </w:p>
    <w:sectPr w:rsidR="00E66E98" w:rsidRPr="00A178C5" w:rsidSect="00E66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880" w:right="760" w:bottom="1140" w:left="800" w:header="0" w:footer="9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1AAB">
      <w:pPr>
        <w:spacing w:after="0" w:line="240" w:lineRule="auto"/>
      </w:pPr>
      <w:r>
        <w:separator/>
      </w:r>
    </w:p>
  </w:endnote>
  <w:endnote w:type="continuationSeparator" w:id="0">
    <w:p w:rsidR="00000000" w:rsidRDefault="009B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27" w:rsidRDefault="009B1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27" w:rsidRDefault="009B1A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27" w:rsidRDefault="009B1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1AAB">
      <w:pPr>
        <w:spacing w:after="0" w:line="240" w:lineRule="auto"/>
      </w:pPr>
      <w:r>
        <w:separator/>
      </w:r>
    </w:p>
  </w:footnote>
  <w:footnote w:type="continuationSeparator" w:id="0">
    <w:p w:rsidR="00000000" w:rsidRDefault="009B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27" w:rsidRDefault="009B1A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27" w:rsidRDefault="009B1A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27" w:rsidRDefault="009B1A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A74A2"/>
    <w:multiLevelType w:val="multilevel"/>
    <w:tmpl w:val="4AD65C08"/>
    <w:lvl w:ilvl="0">
      <w:start w:val="1"/>
      <w:numFmt w:val="decimal"/>
      <w:lvlText w:val="%1"/>
      <w:lvlJc w:val="left"/>
      <w:pPr>
        <w:ind w:left="432" w:hanging="432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9963333"/>
    <w:multiLevelType w:val="hybridMultilevel"/>
    <w:tmpl w:val="1E8E8736"/>
    <w:lvl w:ilvl="0" w:tplc="283A8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83531C"/>
    <w:multiLevelType w:val="hybridMultilevel"/>
    <w:tmpl w:val="5EA676B0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50E10976"/>
    <w:multiLevelType w:val="multilevel"/>
    <w:tmpl w:val="4AD65C08"/>
    <w:lvl w:ilvl="0">
      <w:start w:val="1"/>
      <w:numFmt w:val="decimal"/>
      <w:lvlText w:val="%1"/>
      <w:lvlJc w:val="left"/>
      <w:pPr>
        <w:ind w:left="432" w:hanging="432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ABD05A8"/>
    <w:multiLevelType w:val="hybridMultilevel"/>
    <w:tmpl w:val="CA32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E2203"/>
    <w:multiLevelType w:val="hybridMultilevel"/>
    <w:tmpl w:val="AB7EA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98"/>
    <w:rsid w:val="00072B62"/>
    <w:rsid w:val="00114C83"/>
    <w:rsid w:val="00167CD0"/>
    <w:rsid w:val="009B1AAB"/>
    <w:rsid w:val="00A178C5"/>
    <w:rsid w:val="00B40472"/>
    <w:rsid w:val="00C044D8"/>
    <w:rsid w:val="00E6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4C372-F73A-4CB6-A0AB-DDED377C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98"/>
  </w:style>
  <w:style w:type="paragraph" w:styleId="Footer">
    <w:name w:val="footer"/>
    <w:basedOn w:val="Normal"/>
    <w:link w:val="FooterChar"/>
    <w:uiPriority w:val="99"/>
    <w:unhideWhenUsed/>
    <w:rsid w:val="00E66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98"/>
  </w:style>
  <w:style w:type="paragraph" w:styleId="ListParagraph">
    <w:name w:val="List Paragraph"/>
    <w:basedOn w:val="Normal"/>
    <w:uiPriority w:val="34"/>
    <w:qFormat/>
    <w:rsid w:val="00E66E9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66E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66E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E66E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Peter Moore</cp:lastModifiedBy>
  <cp:revision>4</cp:revision>
  <dcterms:created xsi:type="dcterms:W3CDTF">2021-12-13T08:47:00Z</dcterms:created>
  <dcterms:modified xsi:type="dcterms:W3CDTF">2021-12-13T09:28:00Z</dcterms:modified>
</cp:coreProperties>
</file>