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C4E23" w14:textId="1F518094" w:rsidR="00761AE5" w:rsidRPr="00B251A0" w:rsidRDefault="00761AE5" w:rsidP="00761AE5">
      <w:pPr>
        <w:pStyle w:val="Heading1"/>
      </w:pPr>
      <w:r w:rsidRPr="00B251A0">
        <w:t>Greater Cambridge Local Plan – The First Proposals</w:t>
      </w:r>
    </w:p>
    <w:p w14:paraId="75995EDF" w14:textId="1962765D" w:rsidR="00F81F71" w:rsidRPr="00B251A0" w:rsidRDefault="007A339E" w:rsidP="007A339E">
      <w:pPr>
        <w:pStyle w:val="Heading1"/>
      </w:pPr>
      <w:r w:rsidRPr="00B251A0">
        <w:t>Form to assist in drafting responses to the consultation</w:t>
      </w:r>
    </w:p>
    <w:p w14:paraId="118EB32B" w14:textId="3EA16A98" w:rsidR="00761AE5" w:rsidRPr="00B251A0" w:rsidRDefault="00761AE5" w:rsidP="00761AE5">
      <w:r w:rsidRPr="00B251A0">
        <w:t>This form is provided to help you develop your comments in response to the</w:t>
      </w:r>
      <w:r w:rsidR="00556B97" w:rsidRPr="00B251A0">
        <w:t xml:space="preserve"> detailed</w:t>
      </w:r>
      <w:r w:rsidRPr="00B251A0">
        <w:t xml:space="preserve"> policies in the First Proposals.</w:t>
      </w:r>
      <w:r w:rsidR="006334E3" w:rsidRPr="00B251A0">
        <w:t xml:space="preserve"> </w:t>
      </w:r>
    </w:p>
    <w:p w14:paraId="595DC282" w14:textId="6A7C38DD" w:rsidR="00761AE5" w:rsidRPr="00B251A0" w:rsidRDefault="00761AE5" w:rsidP="00761AE5"/>
    <w:p w14:paraId="3A9E5FEF" w14:textId="6AEC564E" w:rsidR="00761AE5" w:rsidRPr="00B251A0" w:rsidRDefault="00761AE5" w:rsidP="00761AE5">
      <w:r w:rsidRPr="00B251A0">
        <w:t>When you are ready to submit, please input your comments into our online consultation system – this ensures that the right comments are assigned to the right policy, and that we can track and respond to them appropriately. Please do not</w:t>
      </w:r>
      <w:r w:rsidR="00E04144" w:rsidRPr="00B251A0">
        <w:t xml:space="preserve"> return</w:t>
      </w:r>
      <w:r w:rsidRPr="00B251A0">
        <w:t xml:space="preserve"> this form</w:t>
      </w:r>
      <w:r w:rsidR="00E04144" w:rsidRPr="00B251A0">
        <w:t xml:space="preserve"> to us by email or post</w:t>
      </w:r>
      <w:r w:rsidRPr="00B251A0">
        <w:t>, as our team will have to manually enter your responses into the online system and this has scope for</w:t>
      </w:r>
      <w:r w:rsidR="00912F01" w:rsidRPr="00B251A0">
        <w:t xml:space="preserve"> </w:t>
      </w:r>
      <w:r w:rsidRPr="00B251A0">
        <w:t>error</w:t>
      </w:r>
      <w:r w:rsidR="003F4786" w:rsidRPr="00B251A0">
        <w:t xml:space="preserve"> or misinterpretation of your comments</w:t>
      </w:r>
      <w:r w:rsidRPr="00B251A0">
        <w:t>.</w:t>
      </w:r>
    </w:p>
    <w:p w14:paraId="6C34BA8F" w14:textId="3DE603D3" w:rsidR="00761AE5" w:rsidRPr="00B251A0" w:rsidRDefault="00761AE5" w:rsidP="00761AE5"/>
    <w:p w14:paraId="05551ABB" w14:textId="6675639A" w:rsidR="00F81F71" w:rsidRPr="00B251A0" w:rsidRDefault="00761AE5" w:rsidP="00761AE5">
      <w:r w:rsidRPr="00B251A0">
        <w:t xml:space="preserve">If you have difficulty commenting online, please </w:t>
      </w:r>
      <w:r w:rsidR="001324B1" w:rsidRPr="00B251A0">
        <w:rPr>
          <w:rFonts w:cs="Arial"/>
        </w:rPr>
        <w:t>contact</w:t>
      </w:r>
      <w:r w:rsidR="00E04144" w:rsidRPr="00B251A0">
        <w:rPr>
          <w:rFonts w:cs="Arial"/>
        </w:rPr>
        <w:t xml:space="preserve"> us at </w:t>
      </w:r>
      <w:hyperlink r:id="rId11" w:history="1">
        <w:r w:rsidR="00E04144" w:rsidRPr="00B251A0">
          <w:rPr>
            <w:rFonts w:cs="Arial"/>
            <w:color w:val="0563C1" w:themeColor="hyperlink"/>
            <w:u w:val="single"/>
          </w:rPr>
          <w:t>localplan@greatercambridgeplanning.org</w:t>
        </w:r>
      </w:hyperlink>
      <w:r w:rsidR="00E04144" w:rsidRPr="00B251A0">
        <w:rPr>
          <w:rFonts w:cs="Arial"/>
        </w:rPr>
        <w:t xml:space="preserve"> or 01954 </w:t>
      </w:r>
      <w:r w:rsidR="00C36EF9" w:rsidRPr="00B251A0">
        <w:rPr>
          <w:rFonts w:cs="Arial"/>
        </w:rPr>
        <w:t>713694</w:t>
      </w:r>
      <w:r w:rsidR="00573E45" w:rsidRPr="00B251A0">
        <w:t>. We are holding a webinar</w:t>
      </w:r>
      <w:r w:rsidR="003B20B8" w:rsidRPr="00B251A0">
        <w:t xml:space="preserve"> </w:t>
      </w:r>
      <w:r w:rsidR="001324B1" w:rsidRPr="00B251A0">
        <w:t xml:space="preserve">on the comment process </w:t>
      </w:r>
      <w:r w:rsidR="003B20B8" w:rsidRPr="00B251A0">
        <w:t xml:space="preserve">on </w:t>
      </w:r>
      <w:r w:rsidR="00C22D56" w:rsidRPr="00B251A0">
        <w:t>4 November 2021</w:t>
      </w:r>
      <w:r w:rsidR="001324B1" w:rsidRPr="00B251A0">
        <w:t xml:space="preserve"> </w:t>
      </w:r>
      <w:r w:rsidR="00573E45" w:rsidRPr="00B251A0">
        <w:t>which you may attend or watch back</w:t>
      </w:r>
      <w:r w:rsidR="00427FEB" w:rsidRPr="00B251A0">
        <w:t xml:space="preserve"> – visit </w:t>
      </w:r>
      <w:hyperlink r:id="rId12" w:history="1">
        <w:r w:rsidR="00427FEB" w:rsidRPr="00B251A0">
          <w:rPr>
            <w:rStyle w:val="Hyperlink"/>
          </w:rPr>
          <w:t>www.greatercambridgeplanning.org/localplan</w:t>
        </w:r>
      </w:hyperlink>
      <w:r w:rsidR="003B20B8" w:rsidRPr="00B251A0">
        <w:t xml:space="preserve"> for joining details</w:t>
      </w:r>
      <w:r w:rsidR="00427FEB" w:rsidRPr="00B251A0">
        <w:t>.</w:t>
      </w:r>
    </w:p>
    <w:p w14:paraId="015CD9DF" w14:textId="0380873B" w:rsidR="00573E45" w:rsidRPr="00B251A0" w:rsidRDefault="00573E45" w:rsidP="00573E45">
      <w:pPr>
        <w:pStyle w:val="Heading3"/>
      </w:pPr>
      <w:r w:rsidRPr="00B251A0">
        <w:t>What to comment on:</w:t>
      </w:r>
    </w:p>
    <w:p w14:paraId="51031F43" w14:textId="06EAE834" w:rsidR="00556B97" w:rsidRPr="00B251A0" w:rsidRDefault="00A932D9" w:rsidP="00A932D9">
      <w:pPr>
        <w:pStyle w:val="ListParagraph"/>
        <w:numPr>
          <w:ilvl w:val="0"/>
          <w:numId w:val="1"/>
        </w:numPr>
      </w:pPr>
      <w:r w:rsidRPr="00B251A0">
        <w:t xml:space="preserve">Please let us know what you support in the proposals, as well as what you do not support </w:t>
      </w:r>
      <w:r w:rsidR="00556B97" w:rsidRPr="00B251A0">
        <w:t>– it is important to know what you support, and why</w:t>
      </w:r>
      <w:r w:rsidRPr="00B251A0">
        <w:t>, so that we know what parts of the proposals</w:t>
      </w:r>
      <w:r w:rsidR="00027F26" w:rsidRPr="00B251A0">
        <w:t xml:space="preserve"> are felt to be broadly sound</w:t>
      </w:r>
      <w:r w:rsidR="00556B97" w:rsidRPr="00B251A0">
        <w:t>.</w:t>
      </w:r>
    </w:p>
    <w:p w14:paraId="3EB60F67" w14:textId="1C17E937" w:rsidR="00573E45" w:rsidRPr="00B251A0" w:rsidRDefault="00573E45" w:rsidP="00573E45">
      <w:pPr>
        <w:pStyle w:val="ListParagraph"/>
        <w:numPr>
          <w:ilvl w:val="0"/>
          <w:numId w:val="1"/>
        </w:numPr>
      </w:pPr>
      <w:r w:rsidRPr="00B251A0">
        <w:t xml:space="preserve">You do not need to comment on each section and policy – </w:t>
      </w:r>
      <w:r w:rsidR="00D31702" w:rsidRPr="00B251A0">
        <w:t>only</w:t>
      </w:r>
      <w:r w:rsidRPr="00B251A0">
        <w:t xml:space="preserve"> comment on aspects of the plan which you feel strongly about.</w:t>
      </w:r>
    </w:p>
    <w:p w14:paraId="4C47A048" w14:textId="4566C6E8" w:rsidR="006334E3" w:rsidRPr="00B251A0" w:rsidRDefault="00F81F71" w:rsidP="00573E45">
      <w:pPr>
        <w:pStyle w:val="ListParagraph"/>
        <w:numPr>
          <w:ilvl w:val="0"/>
          <w:numId w:val="1"/>
        </w:numPr>
      </w:pPr>
      <w:r w:rsidRPr="00B251A0">
        <w:t>Please keep your comments concise and specific.</w:t>
      </w:r>
      <w:r w:rsidR="00573E45" w:rsidRPr="00B251A0">
        <w:t xml:space="preserve"> We receive thousands of comments and it helps us to identify the most important points you raise if they are clearly worded.</w:t>
      </w:r>
    </w:p>
    <w:p w14:paraId="7B6A2009" w14:textId="028ED561" w:rsidR="00573E45" w:rsidRPr="00B251A0" w:rsidRDefault="00F41ADD" w:rsidP="00573E45">
      <w:pPr>
        <w:pStyle w:val="ListParagraph"/>
        <w:numPr>
          <w:ilvl w:val="0"/>
          <w:numId w:val="1"/>
        </w:numPr>
      </w:pPr>
      <w:r w:rsidRPr="00B251A0">
        <w:t>P</w:t>
      </w:r>
      <w:r w:rsidR="00573E45" w:rsidRPr="00B251A0">
        <w:t>lease do not include personal</w:t>
      </w:r>
      <w:r w:rsidR="00066B24" w:rsidRPr="00B251A0">
        <w:t xml:space="preserve">ly </w:t>
      </w:r>
      <w:r w:rsidR="00573E45" w:rsidRPr="00B251A0">
        <w:t>or commercially sensitive information in your comments.</w:t>
      </w:r>
      <w:r w:rsidR="00710D2F" w:rsidRPr="00B251A0">
        <w:t xml:space="preserve"> </w:t>
      </w:r>
      <w:r w:rsidRPr="00B251A0">
        <w:t>We will redact any such information</w:t>
      </w:r>
      <w:r w:rsidR="00B863E2" w:rsidRPr="00B251A0">
        <w:t>, as well as any offensive material</w:t>
      </w:r>
      <w:r w:rsidRPr="00B251A0">
        <w:t>, prior to publishing comments.</w:t>
      </w:r>
      <w:r w:rsidR="00710D2F" w:rsidRPr="00B251A0">
        <w:t xml:space="preserve"> </w:t>
      </w:r>
    </w:p>
    <w:p w14:paraId="31E9974E" w14:textId="64F87C1E" w:rsidR="00573E45" w:rsidRPr="00B251A0" w:rsidRDefault="00573E45" w:rsidP="00573E45">
      <w:pPr>
        <w:pStyle w:val="ListParagraph"/>
        <w:numPr>
          <w:ilvl w:val="0"/>
          <w:numId w:val="1"/>
        </w:numPr>
      </w:pPr>
      <w:r w:rsidRPr="00B251A0">
        <w:lastRenderedPageBreak/>
        <w:t>You can upload attachments</w:t>
      </w:r>
      <w:r w:rsidR="00FA4F59" w:rsidRPr="00B251A0">
        <w:t>,</w:t>
      </w:r>
      <w:r w:rsidRPr="00B251A0">
        <w:t xml:space="preserve"> but please avoid uploading lengthy documents </w:t>
      </w:r>
      <w:r w:rsidR="000604AA" w:rsidRPr="00B251A0">
        <w:t>or</w:t>
      </w:r>
      <w:r w:rsidRPr="00B251A0">
        <w:t xml:space="preserve"> general reports</w:t>
      </w:r>
      <w:r w:rsidR="000604AA" w:rsidRPr="00B251A0">
        <w:t xml:space="preserve"> or articles</w:t>
      </w:r>
      <w:r w:rsidRPr="00B251A0">
        <w:t>.</w:t>
      </w:r>
      <w:r w:rsidR="00FA4F59" w:rsidRPr="00B251A0">
        <w:t xml:space="preserve"> We cannot take into account any </w:t>
      </w:r>
      <w:r w:rsidR="00066B24" w:rsidRPr="00B251A0">
        <w:t xml:space="preserve">material which is not </w:t>
      </w:r>
      <w:r w:rsidR="00FA4F59" w:rsidRPr="00B251A0">
        <w:t xml:space="preserve">specific </w:t>
      </w:r>
      <w:r w:rsidR="00FE1369" w:rsidRPr="00B251A0">
        <w:t>to Greater Cambridge or the Local Plan.</w:t>
      </w:r>
    </w:p>
    <w:p w14:paraId="7D443168" w14:textId="0CCF0D7C" w:rsidR="00761AE5" w:rsidRPr="00B251A0" w:rsidRDefault="006334E3" w:rsidP="00761AE5">
      <w:pPr>
        <w:pStyle w:val="Heading2"/>
      </w:pPr>
      <w:r w:rsidRPr="00B251A0">
        <w:t>Vision and d</w:t>
      </w:r>
      <w:r w:rsidR="00761AE5" w:rsidRPr="00B251A0">
        <w:t xml:space="preserve">evelopment strategy </w:t>
      </w:r>
    </w:p>
    <w:tbl>
      <w:tblPr>
        <w:tblStyle w:val="TableGrid"/>
        <w:tblW w:w="0" w:type="auto"/>
        <w:tblLook w:val="04A0" w:firstRow="1" w:lastRow="0" w:firstColumn="1" w:lastColumn="0" w:noHBand="0" w:noVBand="1"/>
      </w:tblPr>
      <w:tblGrid>
        <w:gridCol w:w="3114"/>
        <w:gridCol w:w="5902"/>
      </w:tblGrid>
      <w:tr w:rsidR="00761AE5" w:rsidRPr="00B251A0" w14:paraId="2EA90C2F" w14:textId="77777777" w:rsidTr="00761AE5">
        <w:tc>
          <w:tcPr>
            <w:tcW w:w="3256" w:type="dxa"/>
          </w:tcPr>
          <w:p w14:paraId="571A2FCB" w14:textId="732679A7" w:rsidR="00761AE5" w:rsidRPr="00B251A0" w:rsidRDefault="006334E3" w:rsidP="00761AE5">
            <w:pPr>
              <w:rPr>
                <w:rFonts w:cs="Arial"/>
                <w:b/>
                <w:bCs/>
              </w:rPr>
            </w:pPr>
            <w:r w:rsidRPr="00B251A0">
              <w:rPr>
                <w:b/>
                <w:bCs/>
              </w:rPr>
              <w:t xml:space="preserve">Section / </w:t>
            </w:r>
            <w:r w:rsidR="00761AE5" w:rsidRPr="00B251A0">
              <w:rPr>
                <w:b/>
                <w:bCs/>
              </w:rPr>
              <w:t>Policy</w:t>
            </w:r>
          </w:p>
        </w:tc>
        <w:tc>
          <w:tcPr>
            <w:tcW w:w="5760" w:type="dxa"/>
          </w:tcPr>
          <w:p w14:paraId="22A853F1" w14:textId="597C315C" w:rsidR="00761AE5" w:rsidRPr="00B251A0" w:rsidRDefault="00761AE5" w:rsidP="00761AE5">
            <w:pPr>
              <w:rPr>
                <w:rFonts w:cs="Arial"/>
                <w:b/>
                <w:bCs/>
              </w:rPr>
            </w:pPr>
            <w:r w:rsidRPr="00B251A0">
              <w:rPr>
                <w:b/>
                <w:bCs/>
              </w:rPr>
              <w:t>Your comments</w:t>
            </w:r>
          </w:p>
        </w:tc>
      </w:tr>
      <w:tr w:rsidR="006334E3" w:rsidRPr="00B251A0" w14:paraId="59381ED3" w14:textId="77777777" w:rsidTr="00D238FC">
        <w:tc>
          <w:tcPr>
            <w:tcW w:w="3256" w:type="dxa"/>
          </w:tcPr>
          <w:p w14:paraId="60E5DBD7" w14:textId="77777777" w:rsidR="006334E3" w:rsidRPr="00B251A0" w:rsidRDefault="006334E3" w:rsidP="00D238FC">
            <w:pPr>
              <w:rPr>
                <w:rFonts w:cs="Arial"/>
              </w:rPr>
            </w:pPr>
            <w:r w:rsidRPr="00B251A0">
              <w:rPr>
                <w:rFonts w:cs="Arial"/>
              </w:rPr>
              <w:t>Vision and aims</w:t>
            </w:r>
          </w:p>
        </w:tc>
        <w:tc>
          <w:tcPr>
            <w:tcW w:w="5760" w:type="dxa"/>
          </w:tcPr>
          <w:p w14:paraId="6D2FAE21" w14:textId="77777777" w:rsidR="006334E3" w:rsidRPr="00B251A0" w:rsidRDefault="006334E3" w:rsidP="00D238FC">
            <w:pPr>
              <w:rPr>
                <w:rFonts w:cs="Arial"/>
              </w:rPr>
            </w:pPr>
          </w:p>
        </w:tc>
      </w:tr>
      <w:tr w:rsidR="006334E3" w:rsidRPr="00B251A0" w14:paraId="14D9FB85" w14:textId="77777777" w:rsidTr="00761AE5">
        <w:tc>
          <w:tcPr>
            <w:tcW w:w="3256" w:type="dxa"/>
          </w:tcPr>
          <w:p w14:paraId="19377779" w14:textId="5C8E9815" w:rsidR="006334E3" w:rsidRPr="00B251A0" w:rsidRDefault="006334E3" w:rsidP="001C5B1C">
            <w:pPr>
              <w:rPr>
                <w:rFonts w:cs="Arial"/>
              </w:rPr>
            </w:pPr>
            <w:r w:rsidRPr="00B251A0">
              <w:rPr>
                <w:rFonts w:cs="Arial"/>
              </w:rPr>
              <w:t>How much development, and where – general comments</w:t>
            </w:r>
          </w:p>
        </w:tc>
        <w:tc>
          <w:tcPr>
            <w:tcW w:w="5760" w:type="dxa"/>
          </w:tcPr>
          <w:p w14:paraId="2ACD0D26" w14:textId="708D17E1" w:rsidR="00A14E83" w:rsidRPr="00B251A0" w:rsidRDefault="00A14E83" w:rsidP="00A14E83">
            <w:pPr>
              <w:spacing w:line="240" w:lineRule="auto"/>
              <w:rPr>
                <w:rFonts w:cs="Arial"/>
                <w:i/>
                <w:iCs/>
                <w:color w:val="3B3B3B"/>
                <w:sz w:val="20"/>
                <w:szCs w:val="20"/>
              </w:rPr>
            </w:pPr>
            <w:r w:rsidRPr="00B251A0">
              <w:rPr>
                <w:rFonts w:cs="Arial"/>
                <w:i/>
                <w:iCs/>
                <w:color w:val="3B3B3B"/>
                <w:sz w:val="20"/>
                <w:szCs w:val="20"/>
              </w:rPr>
              <w:t>“Alongside this, we want our new towns to mature into great places to live and work, making the most of their existing and planned public transport links to Cambridge and other centres. In the case of Cambourne, East-West Rail means that it will be one of the best-connected places in our region, and whilst things like the location of the new station are yet to be resolved, we do think it can develop into a more substantial town with a more fully developed and lively centre.</w:t>
            </w:r>
            <w:r w:rsidR="00914A62" w:rsidRPr="00B251A0">
              <w:rPr>
                <w:rFonts w:cs="Arial"/>
                <w:i/>
                <w:iCs/>
                <w:color w:val="3B3B3B"/>
                <w:sz w:val="20"/>
                <w:szCs w:val="20"/>
              </w:rPr>
              <w:t>”</w:t>
            </w:r>
          </w:p>
          <w:p w14:paraId="3185E7E2" w14:textId="4FFD96CA" w:rsidR="00BC6F8A" w:rsidRDefault="00BC6F8A" w:rsidP="00A14E83">
            <w:pPr>
              <w:spacing w:line="240" w:lineRule="auto"/>
              <w:rPr>
                <w:rFonts w:cs="Arial"/>
                <w:i/>
                <w:iCs/>
                <w:color w:val="3B3B3B"/>
                <w:sz w:val="20"/>
                <w:szCs w:val="20"/>
              </w:rPr>
            </w:pPr>
          </w:p>
          <w:p w14:paraId="4E8E90A2" w14:textId="77777777" w:rsidR="00034F73" w:rsidRPr="00B251A0" w:rsidRDefault="00034F73" w:rsidP="00A14E83">
            <w:pPr>
              <w:spacing w:line="240" w:lineRule="auto"/>
              <w:rPr>
                <w:rFonts w:cs="Arial"/>
                <w:i/>
                <w:iCs/>
                <w:color w:val="3B3B3B"/>
                <w:sz w:val="20"/>
                <w:szCs w:val="20"/>
              </w:rPr>
            </w:pPr>
          </w:p>
          <w:p w14:paraId="4E762757" w14:textId="567B0EBA" w:rsidR="00BC6F8A" w:rsidRPr="00B251A0" w:rsidRDefault="00BC6F8A" w:rsidP="00B2588E">
            <w:pPr>
              <w:pStyle w:val="ListParagraph"/>
              <w:numPr>
                <w:ilvl w:val="0"/>
                <w:numId w:val="11"/>
              </w:numPr>
              <w:spacing w:line="240" w:lineRule="auto"/>
              <w:rPr>
                <w:rFonts w:cs="Arial"/>
                <w:color w:val="4472C4" w:themeColor="accent1"/>
                <w:sz w:val="20"/>
                <w:szCs w:val="20"/>
              </w:rPr>
            </w:pPr>
            <w:r w:rsidRPr="00B251A0">
              <w:rPr>
                <w:rFonts w:cs="Arial"/>
                <w:color w:val="4472C4" w:themeColor="accent1"/>
                <w:sz w:val="20"/>
                <w:szCs w:val="20"/>
              </w:rPr>
              <w:t>This does not apply only to new towns. Other scales of settlements will be extremely well connected also, e.g. Papworth Everard.</w:t>
            </w:r>
          </w:p>
          <w:p w14:paraId="7D7FF192" w14:textId="2EDCEB1B" w:rsidR="00BC6F8A" w:rsidRPr="00B251A0" w:rsidRDefault="00BC6F8A" w:rsidP="00B2588E">
            <w:pPr>
              <w:pStyle w:val="ListParagraph"/>
              <w:numPr>
                <w:ilvl w:val="0"/>
                <w:numId w:val="11"/>
              </w:numPr>
              <w:spacing w:line="240" w:lineRule="auto"/>
              <w:rPr>
                <w:rFonts w:cs="Arial"/>
                <w:color w:val="4472C4" w:themeColor="accent1"/>
                <w:sz w:val="20"/>
                <w:szCs w:val="20"/>
              </w:rPr>
            </w:pPr>
            <w:r w:rsidRPr="00B251A0">
              <w:rPr>
                <w:rFonts w:cs="Arial"/>
                <w:color w:val="4472C4" w:themeColor="accent1"/>
                <w:sz w:val="20"/>
                <w:szCs w:val="20"/>
              </w:rPr>
              <w:t>Papworth Everard is currently a minor rural centre but one that is highly sustainable and has real growth potential. It too could grow, in a sensitive manner, to provide new services and support and improve existing services, helping to make it a vibrant and attractive place to live.</w:t>
            </w:r>
          </w:p>
          <w:p w14:paraId="57BFE4A7" w14:textId="61B133A6" w:rsidR="00A14E83" w:rsidRDefault="00A14E83" w:rsidP="00A14E83">
            <w:pPr>
              <w:spacing w:line="240" w:lineRule="auto"/>
              <w:rPr>
                <w:rFonts w:cs="Arial"/>
                <w:i/>
                <w:iCs/>
                <w:color w:val="3B3B3B"/>
                <w:sz w:val="20"/>
                <w:szCs w:val="20"/>
              </w:rPr>
            </w:pPr>
          </w:p>
          <w:p w14:paraId="6617433D" w14:textId="77777777" w:rsidR="00034F73" w:rsidRPr="00B251A0" w:rsidRDefault="00034F73" w:rsidP="00A14E83">
            <w:pPr>
              <w:spacing w:line="240" w:lineRule="auto"/>
              <w:rPr>
                <w:rFonts w:cs="Arial"/>
                <w:i/>
                <w:iCs/>
                <w:color w:val="3B3B3B"/>
                <w:sz w:val="20"/>
                <w:szCs w:val="20"/>
              </w:rPr>
            </w:pPr>
          </w:p>
          <w:p w14:paraId="177E307E" w14:textId="47837CB0" w:rsidR="00A14E83" w:rsidRPr="00B251A0" w:rsidRDefault="00DF326D" w:rsidP="00A14E83">
            <w:pPr>
              <w:spacing w:line="240" w:lineRule="auto"/>
              <w:rPr>
                <w:rFonts w:cs="Arial"/>
                <w:i/>
                <w:iCs/>
                <w:color w:val="3B3B3B"/>
                <w:sz w:val="20"/>
                <w:szCs w:val="20"/>
              </w:rPr>
            </w:pPr>
            <w:r w:rsidRPr="00B251A0">
              <w:rPr>
                <w:rFonts w:cs="Arial"/>
                <w:i/>
                <w:iCs/>
                <w:color w:val="3B3B3B"/>
                <w:sz w:val="20"/>
                <w:szCs w:val="20"/>
              </w:rPr>
              <w:t>“</w:t>
            </w:r>
            <w:r w:rsidR="00A14E83" w:rsidRPr="00B251A0">
              <w:rPr>
                <w:rFonts w:cs="Arial"/>
                <w:i/>
                <w:iCs/>
                <w:color w:val="3B3B3B"/>
                <w:sz w:val="20"/>
                <w:szCs w:val="20"/>
              </w:rPr>
              <w:t>We want our rural villages to continue to thrive and sustain their local services, but we don’t want to encourage lots of new homes in places where car travel is the easiest or only way to get around. We therefore propose some development in and around larger villages that have good transport links and services, and to support important employment clusters. In smaller villages, we’ll continue to support infill development and affordable housing on suitable sites, but we do not propose lots of village growth.”</w:t>
            </w:r>
          </w:p>
          <w:p w14:paraId="4C99814F" w14:textId="4E4F7B1B" w:rsidR="00A14E83" w:rsidRDefault="00A14E83" w:rsidP="00A14E83">
            <w:pPr>
              <w:shd w:val="clear" w:color="auto" w:fill="FFFFFF"/>
              <w:spacing w:line="240" w:lineRule="auto"/>
              <w:outlineLvl w:val="0"/>
              <w:rPr>
                <w:rFonts w:eastAsia="Times New Roman" w:cs="Arial"/>
                <w:color w:val="3B3B3B"/>
                <w:kern w:val="36"/>
                <w:sz w:val="20"/>
                <w:szCs w:val="20"/>
                <w:lang w:eastAsia="en-GB"/>
              </w:rPr>
            </w:pPr>
          </w:p>
          <w:p w14:paraId="5A3295FF" w14:textId="77777777" w:rsidR="00034F73" w:rsidRPr="00B251A0" w:rsidRDefault="00034F73" w:rsidP="00A14E83">
            <w:pPr>
              <w:shd w:val="clear" w:color="auto" w:fill="FFFFFF"/>
              <w:spacing w:line="240" w:lineRule="auto"/>
              <w:outlineLvl w:val="0"/>
              <w:rPr>
                <w:rFonts w:eastAsia="Times New Roman" w:cs="Arial"/>
                <w:color w:val="3B3B3B"/>
                <w:kern w:val="36"/>
                <w:sz w:val="20"/>
                <w:szCs w:val="20"/>
                <w:lang w:eastAsia="en-GB"/>
              </w:rPr>
            </w:pPr>
          </w:p>
          <w:p w14:paraId="57D3F816" w14:textId="2D10A9A0" w:rsidR="00A14E83" w:rsidRPr="00B251A0" w:rsidRDefault="00BC6F8A" w:rsidP="00B2588E">
            <w:pPr>
              <w:pStyle w:val="ListParagraph"/>
              <w:numPr>
                <w:ilvl w:val="0"/>
                <w:numId w:val="11"/>
              </w:numPr>
              <w:shd w:val="clear" w:color="auto" w:fill="FFFFFF"/>
              <w:spacing w:line="240" w:lineRule="auto"/>
              <w:outlineLvl w:val="0"/>
              <w:rPr>
                <w:rFonts w:eastAsia="Times New Roman" w:cs="Arial"/>
                <w:color w:val="4472C4" w:themeColor="accent1"/>
                <w:kern w:val="36"/>
                <w:sz w:val="20"/>
                <w:szCs w:val="20"/>
                <w:lang w:eastAsia="en-GB"/>
              </w:rPr>
            </w:pPr>
            <w:r w:rsidRPr="00B251A0">
              <w:rPr>
                <w:rFonts w:eastAsia="Times New Roman" w:cs="Arial"/>
                <w:color w:val="4472C4" w:themeColor="accent1"/>
                <w:kern w:val="36"/>
                <w:sz w:val="20"/>
                <w:szCs w:val="20"/>
                <w:lang w:eastAsia="en-GB"/>
              </w:rPr>
              <w:t>Given all of the transport improvements planned for the A428</w:t>
            </w:r>
            <w:r w:rsidR="00813C65" w:rsidRPr="00B251A0">
              <w:rPr>
                <w:rFonts w:eastAsia="Times New Roman" w:cs="Arial"/>
                <w:color w:val="4472C4" w:themeColor="accent1"/>
                <w:kern w:val="36"/>
                <w:sz w:val="20"/>
                <w:szCs w:val="20"/>
                <w:lang w:eastAsia="en-GB"/>
              </w:rPr>
              <w:t>/E-W Rail/OxCam Arc</w:t>
            </w:r>
            <w:r w:rsidRPr="00B251A0">
              <w:rPr>
                <w:rFonts w:eastAsia="Times New Roman" w:cs="Arial"/>
                <w:color w:val="4472C4" w:themeColor="accent1"/>
                <w:kern w:val="36"/>
                <w:sz w:val="20"/>
                <w:szCs w:val="20"/>
                <w:lang w:eastAsia="en-GB"/>
              </w:rPr>
              <w:t xml:space="preserve"> corridor</w:t>
            </w:r>
            <w:r w:rsidR="00417EC1" w:rsidRPr="00B251A0">
              <w:rPr>
                <w:rFonts w:eastAsia="Times New Roman" w:cs="Arial"/>
                <w:color w:val="4472C4" w:themeColor="accent1"/>
                <w:kern w:val="36"/>
                <w:sz w:val="20"/>
                <w:szCs w:val="20"/>
                <w:lang w:eastAsia="en-GB"/>
              </w:rPr>
              <w:t>,</w:t>
            </w:r>
            <w:r w:rsidRPr="00B251A0">
              <w:rPr>
                <w:rFonts w:eastAsia="Times New Roman" w:cs="Arial"/>
                <w:color w:val="4472C4" w:themeColor="accent1"/>
                <w:kern w:val="36"/>
                <w:sz w:val="20"/>
                <w:szCs w:val="20"/>
                <w:lang w:eastAsia="en-GB"/>
              </w:rPr>
              <w:t xml:space="preserve"> and connecting </w:t>
            </w:r>
            <w:r w:rsidR="00417EC1" w:rsidRPr="00B251A0">
              <w:rPr>
                <w:rFonts w:eastAsia="Times New Roman" w:cs="Arial"/>
                <w:color w:val="4472C4" w:themeColor="accent1"/>
                <w:kern w:val="36"/>
                <w:sz w:val="20"/>
                <w:szCs w:val="20"/>
                <w:lang w:eastAsia="en-GB"/>
              </w:rPr>
              <w:t>directly to</w:t>
            </w:r>
            <w:r w:rsidRPr="00B251A0">
              <w:rPr>
                <w:rFonts w:eastAsia="Times New Roman" w:cs="Arial"/>
                <w:color w:val="4472C4" w:themeColor="accent1"/>
                <w:kern w:val="36"/>
                <w:sz w:val="20"/>
                <w:szCs w:val="20"/>
                <w:lang w:eastAsia="en-GB"/>
              </w:rPr>
              <w:t xml:space="preserve"> Papworth Everard</w:t>
            </w:r>
            <w:r w:rsidR="00417EC1" w:rsidRPr="00B251A0">
              <w:rPr>
                <w:rFonts w:eastAsia="Times New Roman" w:cs="Arial"/>
                <w:color w:val="4472C4" w:themeColor="accent1"/>
                <w:kern w:val="36"/>
                <w:sz w:val="20"/>
                <w:szCs w:val="20"/>
                <w:lang w:eastAsia="en-GB"/>
              </w:rPr>
              <w:t>,</w:t>
            </w:r>
            <w:r w:rsidRPr="00B251A0">
              <w:rPr>
                <w:rFonts w:eastAsia="Times New Roman" w:cs="Arial"/>
                <w:color w:val="4472C4" w:themeColor="accent1"/>
                <w:kern w:val="36"/>
                <w:sz w:val="20"/>
                <w:szCs w:val="20"/>
                <w:lang w:eastAsia="en-GB"/>
              </w:rPr>
              <w:t xml:space="preserve"> </w:t>
            </w:r>
            <w:r w:rsidR="00417EC1" w:rsidRPr="00B251A0">
              <w:rPr>
                <w:rFonts w:eastAsia="Times New Roman" w:cs="Arial"/>
                <w:color w:val="4472C4" w:themeColor="accent1"/>
                <w:kern w:val="36"/>
                <w:sz w:val="20"/>
                <w:szCs w:val="20"/>
                <w:lang w:eastAsia="en-GB"/>
              </w:rPr>
              <w:t>there will be a multitude of transport options available for residents from early in the plan period. Car travel will not therefore be the easiest or only option for getting around.</w:t>
            </w:r>
          </w:p>
          <w:p w14:paraId="4FF71298" w14:textId="0B61BD42" w:rsidR="00A14E83" w:rsidRPr="00B251A0" w:rsidRDefault="00417EC1" w:rsidP="00D05456">
            <w:pPr>
              <w:pStyle w:val="ListParagraph"/>
              <w:numPr>
                <w:ilvl w:val="0"/>
                <w:numId w:val="11"/>
              </w:numPr>
              <w:shd w:val="clear" w:color="auto" w:fill="FFFFFF"/>
              <w:spacing w:line="240" w:lineRule="auto"/>
              <w:outlineLvl w:val="0"/>
              <w:rPr>
                <w:rFonts w:eastAsia="Times New Roman" w:cs="Arial"/>
                <w:color w:val="4472C4" w:themeColor="accent1"/>
                <w:kern w:val="36"/>
                <w:sz w:val="20"/>
                <w:szCs w:val="20"/>
                <w:lang w:eastAsia="en-GB"/>
              </w:rPr>
            </w:pPr>
            <w:r w:rsidRPr="00B251A0">
              <w:rPr>
                <w:rFonts w:eastAsia="Times New Roman" w:cs="Arial"/>
                <w:color w:val="4472C4" w:themeColor="accent1"/>
                <w:kern w:val="36"/>
                <w:sz w:val="20"/>
                <w:szCs w:val="20"/>
                <w:lang w:eastAsia="en-GB"/>
              </w:rPr>
              <w:t>Papworth Everard stands out from the other minor rural centres and villages in the plan as what will be one of</w:t>
            </w:r>
            <w:r w:rsidR="00813C65" w:rsidRPr="00B251A0">
              <w:rPr>
                <w:rFonts w:eastAsia="Times New Roman" w:cs="Arial"/>
                <w:color w:val="4472C4" w:themeColor="accent1"/>
                <w:kern w:val="36"/>
                <w:sz w:val="20"/>
                <w:szCs w:val="20"/>
                <w:lang w:eastAsia="en-GB"/>
              </w:rPr>
              <w:t xml:space="preserve"> the best connected villages</w:t>
            </w:r>
            <w:r w:rsidRPr="00B251A0">
              <w:rPr>
                <w:rFonts w:eastAsia="Times New Roman" w:cs="Arial"/>
                <w:color w:val="4472C4" w:themeColor="accent1"/>
                <w:kern w:val="36"/>
                <w:sz w:val="20"/>
                <w:szCs w:val="20"/>
                <w:lang w:eastAsia="en-GB"/>
              </w:rPr>
              <w:t xml:space="preserve">, if not </w:t>
            </w:r>
            <w:r w:rsidRPr="00B251A0">
              <w:rPr>
                <w:rFonts w:eastAsia="Times New Roman" w:cs="Arial"/>
                <w:color w:val="4472C4" w:themeColor="accent1"/>
                <w:kern w:val="36"/>
                <w:sz w:val="20"/>
                <w:szCs w:val="20"/>
                <w:u w:val="single"/>
                <w:lang w:eastAsia="en-GB"/>
              </w:rPr>
              <w:t>the</w:t>
            </w:r>
            <w:r w:rsidRPr="00B251A0">
              <w:rPr>
                <w:rFonts w:eastAsia="Times New Roman" w:cs="Arial"/>
                <w:color w:val="4472C4" w:themeColor="accent1"/>
                <w:kern w:val="36"/>
                <w:sz w:val="20"/>
                <w:szCs w:val="20"/>
                <w:lang w:eastAsia="en-GB"/>
              </w:rPr>
              <w:t xml:space="preserve"> best connected village, in the plan area. Unlike many other villages in the plan, therefore, it is a logical location for growt</w:t>
            </w:r>
            <w:r w:rsidR="004817EE" w:rsidRPr="00B251A0">
              <w:rPr>
                <w:rFonts w:eastAsia="Times New Roman" w:cs="Arial"/>
                <w:color w:val="4472C4" w:themeColor="accent1"/>
                <w:kern w:val="36"/>
                <w:sz w:val="20"/>
                <w:szCs w:val="20"/>
                <w:lang w:eastAsia="en-GB"/>
              </w:rPr>
              <w:t xml:space="preserve">h. The southern side of the settlement is the obvious location for such </w:t>
            </w:r>
            <w:r w:rsidR="004817EE" w:rsidRPr="00B251A0">
              <w:rPr>
                <w:rFonts w:eastAsia="Times New Roman" w:cs="Arial"/>
                <w:color w:val="4472C4" w:themeColor="accent1"/>
                <w:kern w:val="36"/>
                <w:sz w:val="20"/>
                <w:szCs w:val="20"/>
                <w:lang w:eastAsia="en-GB"/>
              </w:rPr>
              <w:lastRenderedPageBreak/>
              <w:t>growth in view of its proximity and connection to the various forthcoming new transport and transport upgrade schemes.</w:t>
            </w:r>
          </w:p>
          <w:p w14:paraId="077AB70A" w14:textId="67F68346" w:rsidR="00DF326D" w:rsidRPr="00B251A0" w:rsidRDefault="00E35746" w:rsidP="00D05456">
            <w:pPr>
              <w:pStyle w:val="ListParagraph"/>
              <w:numPr>
                <w:ilvl w:val="0"/>
                <w:numId w:val="11"/>
              </w:numPr>
              <w:shd w:val="clear" w:color="auto" w:fill="FFFFFF"/>
              <w:spacing w:line="240" w:lineRule="auto"/>
              <w:outlineLvl w:val="0"/>
              <w:rPr>
                <w:rFonts w:eastAsia="Times New Roman" w:cs="Arial"/>
                <w:color w:val="4472C4" w:themeColor="accent1"/>
                <w:kern w:val="36"/>
                <w:sz w:val="20"/>
                <w:szCs w:val="20"/>
                <w:lang w:eastAsia="en-GB"/>
              </w:rPr>
            </w:pPr>
            <w:r w:rsidRPr="00B251A0">
              <w:rPr>
                <w:rFonts w:eastAsia="Times New Roman" w:cs="Arial"/>
                <w:color w:val="4472C4" w:themeColor="accent1"/>
                <w:kern w:val="36"/>
                <w:sz w:val="20"/>
                <w:szCs w:val="20"/>
                <w:lang w:eastAsia="en-GB"/>
              </w:rPr>
              <w:t>Land at Crow's Nest Farm, Papworth Everard (Greater Cambridge HELAA (2021) Site Reference: 48096) would have excellent transport links and could provide a Rural Travel Hub to optimise and maximise the use of those links</w:t>
            </w:r>
            <w:r w:rsidR="000F1EC1" w:rsidRPr="00B251A0">
              <w:rPr>
                <w:rFonts w:eastAsia="Times New Roman" w:cs="Arial"/>
                <w:color w:val="4472C4" w:themeColor="accent1"/>
                <w:kern w:val="36"/>
                <w:sz w:val="20"/>
                <w:szCs w:val="20"/>
                <w:lang w:eastAsia="en-GB"/>
              </w:rPr>
              <w:t xml:space="preserve">, </w:t>
            </w:r>
            <w:r w:rsidRPr="00B251A0">
              <w:rPr>
                <w:rFonts w:eastAsia="Times New Roman" w:cs="Arial"/>
                <w:color w:val="4472C4" w:themeColor="accent1"/>
                <w:kern w:val="36"/>
                <w:sz w:val="20"/>
                <w:szCs w:val="20"/>
                <w:lang w:eastAsia="en-GB"/>
              </w:rPr>
              <w:t>making sustainable travel modes easier and more attractive than car travel</w:t>
            </w:r>
            <w:r w:rsidR="000F1EC1" w:rsidRPr="00B251A0">
              <w:rPr>
                <w:rFonts w:eastAsia="Times New Roman" w:cs="Arial"/>
                <w:color w:val="4472C4" w:themeColor="accent1"/>
                <w:kern w:val="36"/>
                <w:sz w:val="20"/>
                <w:szCs w:val="20"/>
                <w:lang w:eastAsia="en-GB"/>
              </w:rPr>
              <w:t xml:space="preserve"> </w:t>
            </w:r>
            <w:r w:rsidRPr="00B251A0">
              <w:rPr>
                <w:rFonts w:eastAsia="Times New Roman" w:cs="Arial"/>
                <w:color w:val="4472C4" w:themeColor="accent1"/>
                <w:kern w:val="36"/>
                <w:sz w:val="20"/>
                <w:szCs w:val="20"/>
                <w:lang w:eastAsia="en-GB"/>
              </w:rPr>
              <w:t>for those living at the site</w:t>
            </w:r>
            <w:r w:rsidR="00813C65" w:rsidRPr="00B251A0">
              <w:rPr>
                <w:rFonts w:eastAsia="Times New Roman" w:cs="Arial"/>
                <w:color w:val="4472C4" w:themeColor="accent1"/>
                <w:kern w:val="36"/>
                <w:sz w:val="20"/>
                <w:szCs w:val="20"/>
                <w:lang w:eastAsia="en-GB"/>
              </w:rPr>
              <w:t>,</w:t>
            </w:r>
            <w:r w:rsidRPr="00B251A0">
              <w:rPr>
                <w:rFonts w:eastAsia="Times New Roman" w:cs="Arial"/>
                <w:color w:val="4472C4" w:themeColor="accent1"/>
                <w:kern w:val="36"/>
                <w:sz w:val="20"/>
                <w:szCs w:val="20"/>
                <w:lang w:eastAsia="en-GB"/>
              </w:rPr>
              <w:t xml:space="preserve"> and residents of Papworth Everard more generally.</w:t>
            </w:r>
          </w:p>
          <w:p w14:paraId="727C4ACB" w14:textId="77777777" w:rsidR="00B251A0" w:rsidRPr="00034F73" w:rsidRDefault="00B251A0" w:rsidP="001C5B1C">
            <w:pPr>
              <w:shd w:val="clear" w:color="auto" w:fill="FFFFFF"/>
              <w:spacing w:line="240" w:lineRule="auto"/>
              <w:outlineLvl w:val="0"/>
              <w:rPr>
                <w:sz w:val="20"/>
                <w:szCs w:val="20"/>
              </w:rPr>
            </w:pPr>
          </w:p>
          <w:p w14:paraId="4558F913" w14:textId="77777777" w:rsidR="001C5B1C" w:rsidRPr="00034F73" w:rsidRDefault="001C5B1C" w:rsidP="001C5B1C">
            <w:pPr>
              <w:shd w:val="clear" w:color="auto" w:fill="FFFFFF"/>
              <w:spacing w:line="240" w:lineRule="auto"/>
              <w:outlineLvl w:val="0"/>
              <w:rPr>
                <w:sz w:val="20"/>
                <w:szCs w:val="20"/>
              </w:rPr>
            </w:pPr>
          </w:p>
          <w:p w14:paraId="273E0C4D" w14:textId="26C20664" w:rsidR="00686F9C" w:rsidRPr="00B251A0" w:rsidRDefault="00681E23" w:rsidP="001C5B1C">
            <w:pPr>
              <w:shd w:val="clear" w:color="auto" w:fill="FFFFFF"/>
              <w:spacing w:line="240" w:lineRule="auto"/>
              <w:outlineLvl w:val="0"/>
              <w:rPr>
                <w:b/>
                <w:bCs/>
                <w:sz w:val="16"/>
                <w:szCs w:val="16"/>
              </w:rPr>
            </w:pPr>
            <w:r w:rsidRPr="00B251A0">
              <w:rPr>
                <w:b/>
                <w:bCs/>
                <w:sz w:val="16"/>
                <w:szCs w:val="16"/>
              </w:rPr>
              <w:t>"</w:t>
            </w:r>
            <w:r w:rsidR="00686F9C" w:rsidRPr="00B251A0">
              <w:rPr>
                <w:b/>
                <w:bCs/>
                <w:sz w:val="16"/>
                <w:szCs w:val="16"/>
              </w:rPr>
              <w:t>Housing Delivery Study – FINAL VERSION Prepared for: Greater Cambridge Shared Planning AECOM</w:t>
            </w:r>
          </w:p>
          <w:p w14:paraId="208A6B90" w14:textId="77777777" w:rsidR="00686F9C" w:rsidRPr="00B251A0" w:rsidRDefault="00686F9C" w:rsidP="001C5B1C">
            <w:pPr>
              <w:shd w:val="clear" w:color="auto" w:fill="FFFFFF"/>
              <w:spacing w:line="240" w:lineRule="auto"/>
              <w:outlineLvl w:val="0"/>
              <w:rPr>
                <w:sz w:val="16"/>
                <w:szCs w:val="16"/>
              </w:rPr>
            </w:pPr>
          </w:p>
          <w:p w14:paraId="0F39F24C" w14:textId="0EF1BABB" w:rsidR="001C5B1C" w:rsidRPr="00B251A0" w:rsidRDefault="00681E23" w:rsidP="001C5B1C">
            <w:pPr>
              <w:shd w:val="clear" w:color="auto" w:fill="FFFFFF"/>
              <w:spacing w:line="240" w:lineRule="auto"/>
              <w:outlineLvl w:val="0"/>
              <w:rPr>
                <w:sz w:val="16"/>
                <w:szCs w:val="16"/>
              </w:rPr>
            </w:pPr>
            <w:r w:rsidRPr="00B251A0">
              <w:rPr>
                <w:sz w:val="16"/>
                <w:szCs w:val="16"/>
              </w:rPr>
              <w:t>…</w:t>
            </w:r>
          </w:p>
          <w:p w14:paraId="6A9561D0" w14:textId="77777777" w:rsidR="00681E23" w:rsidRPr="00B251A0" w:rsidRDefault="00681E23" w:rsidP="001C5B1C">
            <w:pPr>
              <w:shd w:val="clear" w:color="auto" w:fill="FFFFFF"/>
              <w:spacing w:line="240" w:lineRule="auto"/>
              <w:outlineLvl w:val="0"/>
              <w:rPr>
                <w:sz w:val="16"/>
                <w:szCs w:val="16"/>
              </w:rPr>
            </w:pPr>
          </w:p>
          <w:p w14:paraId="1965077C" w14:textId="52EA156C" w:rsidR="00686F9C" w:rsidRPr="00B251A0" w:rsidRDefault="00686F9C" w:rsidP="001C5B1C">
            <w:pPr>
              <w:shd w:val="clear" w:color="auto" w:fill="FFFFFF"/>
              <w:spacing w:line="240" w:lineRule="auto"/>
              <w:outlineLvl w:val="0"/>
              <w:rPr>
                <w:sz w:val="16"/>
                <w:szCs w:val="16"/>
              </w:rPr>
            </w:pPr>
            <w:r w:rsidRPr="00B251A0">
              <w:rPr>
                <w:sz w:val="16"/>
                <w:szCs w:val="16"/>
              </w:rPr>
              <w:t>11.19  It is still the case that generally the spatial options that mix short-medium term sources of supply (smaller sites in urban areas and villages) with longer-term sources (new settlements, urban extensions and Green Belt release) are better-able to deliver across the plan period as a whole with a smoother trajectory. These sites also have different characteristics and are likely to result in variety in terms of location, size, type and tenure of housing, and also be more geographically spread to reduce competition, thus better-matching the housing supply with demand.</w:t>
            </w:r>
            <w:r w:rsidR="00681E23" w:rsidRPr="00B251A0">
              <w:rPr>
                <w:sz w:val="16"/>
                <w:szCs w:val="16"/>
              </w:rPr>
              <w:t>”</w:t>
            </w:r>
          </w:p>
          <w:p w14:paraId="53601843" w14:textId="77777777" w:rsidR="001C5B1C" w:rsidRPr="00B251A0" w:rsidRDefault="001C5B1C" w:rsidP="001C5B1C">
            <w:pPr>
              <w:shd w:val="clear" w:color="auto" w:fill="FFFFFF"/>
              <w:spacing w:line="240" w:lineRule="auto"/>
              <w:outlineLvl w:val="0"/>
              <w:rPr>
                <w:sz w:val="16"/>
                <w:szCs w:val="16"/>
              </w:rPr>
            </w:pPr>
          </w:p>
          <w:p w14:paraId="53DCEC9F" w14:textId="3D3F3899" w:rsidR="00686F9C" w:rsidRDefault="00681E23" w:rsidP="001C5B1C">
            <w:pPr>
              <w:shd w:val="clear" w:color="auto" w:fill="FFFFFF"/>
              <w:spacing w:line="240" w:lineRule="auto"/>
              <w:outlineLvl w:val="0"/>
              <w:rPr>
                <w:sz w:val="16"/>
                <w:szCs w:val="16"/>
              </w:rPr>
            </w:pPr>
            <w:r w:rsidRPr="00B251A0">
              <w:rPr>
                <w:sz w:val="16"/>
                <w:szCs w:val="16"/>
              </w:rPr>
              <w:t>“</w:t>
            </w:r>
            <w:r w:rsidR="00686F9C" w:rsidRPr="00B251A0">
              <w:rPr>
                <w:sz w:val="16"/>
                <w:szCs w:val="16"/>
              </w:rPr>
              <w:t>11.20  The housing delivery assumptions in this report still show that in order to optimise housing delivery, demonstrate a five-year housing land supply and maintain delivery across the plan period, it will be necessary to gap-fill the ‘troughs’ in the housing trajectory with additional sources of supply. This should be underpinned by cautious but realistic lead-in times and build-out rates, and an ‘over-allocation’ of land against the eventual housing requirement (we recommend at least a 10% buffer) in order to ensure that any unforeseen delays to delivering individual site allocations during the plan period, or changes to market conditions, do not result in under-delivery that would threaten the five year housing land supply or performance against the Housing Delivery Test.</w:t>
            </w:r>
            <w:r w:rsidRPr="00B251A0">
              <w:rPr>
                <w:sz w:val="16"/>
                <w:szCs w:val="16"/>
              </w:rPr>
              <w:t>”</w:t>
            </w:r>
          </w:p>
          <w:p w14:paraId="3D6B147B" w14:textId="77777777" w:rsidR="00034F73" w:rsidRPr="00034F73" w:rsidRDefault="00034F73" w:rsidP="001C5B1C">
            <w:pPr>
              <w:shd w:val="clear" w:color="auto" w:fill="FFFFFF"/>
              <w:spacing w:line="240" w:lineRule="auto"/>
              <w:outlineLvl w:val="0"/>
              <w:rPr>
                <w:sz w:val="20"/>
                <w:szCs w:val="20"/>
              </w:rPr>
            </w:pPr>
          </w:p>
          <w:p w14:paraId="3A74404F" w14:textId="79DCEF6C" w:rsidR="000F1EC1" w:rsidRPr="00034F73" w:rsidRDefault="000F1EC1" w:rsidP="001C5B1C">
            <w:pPr>
              <w:shd w:val="clear" w:color="auto" w:fill="FFFFFF"/>
              <w:spacing w:line="240" w:lineRule="auto"/>
              <w:outlineLvl w:val="0"/>
              <w:rPr>
                <w:sz w:val="20"/>
                <w:szCs w:val="20"/>
              </w:rPr>
            </w:pPr>
          </w:p>
          <w:p w14:paraId="5388DE2F" w14:textId="69EE40EE" w:rsidR="001E1F15" w:rsidRPr="00B251A0" w:rsidRDefault="001E1F15" w:rsidP="00004538">
            <w:pPr>
              <w:pStyle w:val="ListParagraph"/>
              <w:numPr>
                <w:ilvl w:val="0"/>
                <w:numId w:val="11"/>
              </w:numPr>
              <w:shd w:val="clear" w:color="auto" w:fill="FFFFFF"/>
              <w:spacing w:line="240" w:lineRule="auto"/>
              <w:outlineLvl w:val="0"/>
              <w:rPr>
                <w:rFonts w:eastAsia="Times New Roman" w:cs="Arial"/>
                <w:color w:val="4472C4" w:themeColor="accent1"/>
                <w:kern w:val="36"/>
                <w:sz w:val="20"/>
                <w:szCs w:val="20"/>
                <w:lang w:eastAsia="en-GB"/>
              </w:rPr>
            </w:pPr>
            <w:r w:rsidRPr="00B251A0">
              <w:rPr>
                <w:rFonts w:eastAsia="Times New Roman" w:cs="Arial"/>
                <w:color w:val="4472C4" w:themeColor="accent1"/>
                <w:kern w:val="36"/>
                <w:sz w:val="20"/>
                <w:szCs w:val="20"/>
                <w:lang w:eastAsia="en-GB"/>
              </w:rPr>
              <w:t xml:space="preserve">The ’additional sources of supply’ which the Housing Delivery Study says will be necessary for gap-filling are not included in the </w:t>
            </w:r>
            <w:r w:rsidR="008F7140" w:rsidRPr="00B251A0">
              <w:rPr>
                <w:rFonts w:eastAsia="Times New Roman" w:cs="Arial"/>
                <w:color w:val="4472C4" w:themeColor="accent1"/>
                <w:kern w:val="36"/>
                <w:sz w:val="20"/>
                <w:szCs w:val="20"/>
                <w:lang w:eastAsia="en-GB"/>
              </w:rPr>
              <w:t>‘</w:t>
            </w:r>
            <w:r w:rsidRPr="00B251A0">
              <w:rPr>
                <w:rFonts w:eastAsia="Times New Roman" w:cs="Arial"/>
                <w:color w:val="4472C4" w:themeColor="accent1"/>
                <w:kern w:val="36"/>
                <w:sz w:val="20"/>
                <w:szCs w:val="20"/>
                <w:lang w:eastAsia="en-GB"/>
              </w:rPr>
              <w:t>First Proposals</w:t>
            </w:r>
            <w:r w:rsidR="008F7140" w:rsidRPr="00B251A0">
              <w:rPr>
                <w:rFonts w:eastAsia="Times New Roman" w:cs="Arial"/>
                <w:color w:val="4472C4" w:themeColor="accent1"/>
                <w:kern w:val="36"/>
                <w:sz w:val="20"/>
                <w:szCs w:val="20"/>
                <w:lang w:eastAsia="en-GB"/>
              </w:rPr>
              <w:t>’</w:t>
            </w:r>
            <w:r w:rsidRPr="00B251A0">
              <w:rPr>
                <w:rFonts w:eastAsia="Times New Roman" w:cs="Arial"/>
                <w:color w:val="4472C4" w:themeColor="accent1"/>
                <w:kern w:val="36"/>
                <w:sz w:val="20"/>
                <w:szCs w:val="20"/>
                <w:lang w:eastAsia="en-GB"/>
              </w:rPr>
              <w:t>.</w:t>
            </w:r>
          </w:p>
          <w:p w14:paraId="514C02AD" w14:textId="24E9FED2" w:rsidR="001E1F15" w:rsidRPr="00B251A0" w:rsidRDefault="001E1F15" w:rsidP="00004538">
            <w:pPr>
              <w:pStyle w:val="ListParagraph"/>
              <w:numPr>
                <w:ilvl w:val="0"/>
                <w:numId w:val="11"/>
              </w:numPr>
              <w:shd w:val="clear" w:color="auto" w:fill="FFFFFF"/>
              <w:spacing w:line="240" w:lineRule="auto"/>
              <w:outlineLvl w:val="0"/>
              <w:rPr>
                <w:rFonts w:eastAsia="Times New Roman" w:cs="Arial"/>
                <w:color w:val="4472C4" w:themeColor="accent1"/>
                <w:kern w:val="36"/>
                <w:sz w:val="20"/>
                <w:szCs w:val="20"/>
                <w:lang w:eastAsia="en-GB"/>
              </w:rPr>
            </w:pPr>
            <w:r w:rsidRPr="00B251A0">
              <w:rPr>
                <w:rFonts w:eastAsia="Times New Roman" w:cs="Arial"/>
                <w:color w:val="4472C4" w:themeColor="accent1"/>
                <w:kern w:val="36"/>
                <w:sz w:val="20"/>
                <w:szCs w:val="20"/>
                <w:lang w:eastAsia="en-GB"/>
              </w:rPr>
              <w:t>T</w:t>
            </w:r>
            <w:r w:rsidR="00681E23" w:rsidRPr="00B251A0">
              <w:rPr>
                <w:rFonts w:eastAsia="Times New Roman" w:cs="Arial"/>
                <w:color w:val="4472C4" w:themeColor="accent1"/>
                <w:kern w:val="36"/>
                <w:sz w:val="20"/>
                <w:szCs w:val="20"/>
                <w:lang w:eastAsia="en-GB"/>
              </w:rPr>
              <w:t>he Councils h</w:t>
            </w:r>
            <w:r w:rsidRPr="00B251A0">
              <w:rPr>
                <w:rFonts w:eastAsia="Times New Roman" w:cs="Arial"/>
                <w:color w:val="4472C4" w:themeColor="accent1"/>
                <w:kern w:val="36"/>
                <w:sz w:val="20"/>
                <w:szCs w:val="20"/>
                <w:lang w:eastAsia="en-GB"/>
              </w:rPr>
              <w:t>ave included a</w:t>
            </w:r>
            <w:r w:rsidR="00004538" w:rsidRPr="00B251A0">
              <w:rPr>
                <w:rFonts w:eastAsia="Times New Roman" w:cs="Arial"/>
                <w:color w:val="4472C4" w:themeColor="accent1"/>
                <w:kern w:val="36"/>
                <w:sz w:val="20"/>
                <w:szCs w:val="20"/>
                <w:lang w:eastAsia="en-GB"/>
              </w:rPr>
              <w:t>n ‘over-allocation</w:t>
            </w:r>
            <w:r w:rsidRPr="00B251A0">
              <w:rPr>
                <w:rFonts w:eastAsia="Times New Roman" w:cs="Arial"/>
                <w:color w:val="4472C4" w:themeColor="accent1"/>
                <w:kern w:val="36"/>
                <w:sz w:val="20"/>
                <w:szCs w:val="20"/>
                <w:lang w:eastAsia="en-GB"/>
              </w:rPr>
              <w:t xml:space="preserve"> buffer</w:t>
            </w:r>
            <w:r w:rsidR="00004538" w:rsidRPr="00B251A0">
              <w:rPr>
                <w:rFonts w:eastAsia="Times New Roman" w:cs="Arial"/>
                <w:color w:val="4472C4" w:themeColor="accent1"/>
                <w:kern w:val="36"/>
                <w:sz w:val="20"/>
                <w:szCs w:val="20"/>
                <w:lang w:eastAsia="en-GB"/>
              </w:rPr>
              <w:t>’</w:t>
            </w:r>
            <w:r w:rsidRPr="00B251A0">
              <w:rPr>
                <w:rFonts w:eastAsia="Times New Roman" w:cs="Arial"/>
                <w:color w:val="4472C4" w:themeColor="accent1"/>
                <w:kern w:val="36"/>
                <w:sz w:val="20"/>
                <w:szCs w:val="20"/>
                <w:lang w:eastAsia="en-GB"/>
              </w:rPr>
              <w:t xml:space="preserve"> of 10% but, as the Study implies, this simply underpins the gap-filling</w:t>
            </w:r>
            <w:r w:rsidR="00004538" w:rsidRPr="00B251A0">
              <w:rPr>
                <w:rFonts w:eastAsia="Times New Roman" w:cs="Arial"/>
                <w:color w:val="4472C4" w:themeColor="accent1"/>
                <w:kern w:val="36"/>
                <w:sz w:val="20"/>
                <w:szCs w:val="20"/>
                <w:lang w:eastAsia="en-GB"/>
              </w:rPr>
              <w:t xml:space="preserve"> (by building in flexibility and resilience to the supply)</w:t>
            </w:r>
            <w:r w:rsidRPr="00B251A0">
              <w:rPr>
                <w:rFonts w:eastAsia="Times New Roman" w:cs="Arial"/>
                <w:color w:val="4472C4" w:themeColor="accent1"/>
                <w:kern w:val="36"/>
                <w:sz w:val="20"/>
                <w:szCs w:val="20"/>
                <w:lang w:eastAsia="en-GB"/>
              </w:rPr>
              <w:t xml:space="preserve">, </w:t>
            </w:r>
            <w:r w:rsidR="008F7140" w:rsidRPr="00B251A0">
              <w:rPr>
                <w:rFonts w:eastAsia="Times New Roman" w:cs="Arial"/>
                <w:color w:val="4472C4" w:themeColor="accent1"/>
                <w:kern w:val="36"/>
                <w:sz w:val="20"/>
                <w:szCs w:val="20"/>
                <w:lang w:eastAsia="en-GB"/>
              </w:rPr>
              <w:t>but does n</w:t>
            </w:r>
            <w:r w:rsidRPr="00B251A0">
              <w:rPr>
                <w:rFonts w:eastAsia="Times New Roman" w:cs="Arial"/>
                <w:color w:val="4472C4" w:themeColor="accent1"/>
                <w:kern w:val="36"/>
                <w:sz w:val="20"/>
                <w:szCs w:val="20"/>
                <w:lang w:eastAsia="en-GB"/>
              </w:rPr>
              <w:t>ot</w:t>
            </w:r>
            <w:r w:rsidR="008F7140" w:rsidRPr="00B251A0">
              <w:rPr>
                <w:rFonts w:eastAsia="Times New Roman" w:cs="Arial"/>
                <w:color w:val="4472C4" w:themeColor="accent1"/>
                <w:kern w:val="36"/>
                <w:sz w:val="20"/>
                <w:szCs w:val="20"/>
                <w:lang w:eastAsia="en-GB"/>
              </w:rPr>
              <w:t xml:space="preserve"> constitute</w:t>
            </w:r>
            <w:r w:rsidRPr="00B251A0">
              <w:rPr>
                <w:rFonts w:eastAsia="Times New Roman" w:cs="Arial"/>
                <w:color w:val="4472C4" w:themeColor="accent1"/>
                <w:kern w:val="36"/>
                <w:sz w:val="20"/>
                <w:szCs w:val="20"/>
                <w:lang w:eastAsia="en-GB"/>
              </w:rPr>
              <w:t xml:space="preserve"> gap-filling itself.</w:t>
            </w:r>
          </w:p>
          <w:p w14:paraId="28BD5DA3" w14:textId="1AF18A9E" w:rsidR="001E1F15" w:rsidRPr="00B251A0" w:rsidRDefault="001E1F15" w:rsidP="00004538">
            <w:pPr>
              <w:pStyle w:val="ListParagraph"/>
              <w:numPr>
                <w:ilvl w:val="0"/>
                <w:numId w:val="11"/>
              </w:numPr>
              <w:shd w:val="clear" w:color="auto" w:fill="FFFFFF"/>
              <w:spacing w:line="240" w:lineRule="auto"/>
              <w:outlineLvl w:val="0"/>
              <w:rPr>
                <w:rFonts w:eastAsia="Times New Roman" w:cs="Arial"/>
                <w:color w:val="4472C4" w:themeColor="accent1"/>
                <w:kern w:val="36"/>
                <w:sz w:val="20"/>
                <w:szCs w:val="20"/>
                <w:lang w:eastAsia="en-GB"/>
              </w:rPr>
            </w:pPr>
            <w:r w:rsidRPr="00B251A0">
              <w:rPr>
                <w:rFonts w:eastAsia="Times New Roman" w:cs="Arial"/>
                <w:color w:val="4472C4" w:themeColor="accent1"/>
                <w:kern w:val="36"/>
                <w:sz w:val="20"/>
                <w:szCs w:val="20"/>
                <w:lang w:eastAsia="en-GB"/>
              </w:rPr>
              <w:t>What is needed for effective gap-filling is</w:t>
            </w:r>
            <w:r w:rsidR="00004538" w:rsidRPr="00B251A0">
              <w:rPr>
                <w:rFonts w:eastAsia="Times New Roman" w:cs="Arial"/>
                <w:color w:val="4472C4" w:themeColor="accent1"/>
                <w:kern w:val="36"/>
                <w:sz w:val="20"/>
                <w:szCs w:val="20"/>
                <w:lang w:eastAsia="en-GB"/>
              </w:rPr>
              <w:t xml:space="preserve"> the</w:t>
            </w:r>
            <w:r w:rsidRPr="00B251A0">
              <w:rPr>
                <w:rFonts w:eastAsia="Times New Roman" w:cs="Arial"/>
                <w:color w:val="4472C4" w:themeColor="accent1"/>
                <w:kern w:val="36"/>
                <w:sz w:val="20"/>
                <w:szCs w:val="20"/>
                <w:lang w:eastAsia="en-GB"/>
              </w:rPr>
              <w:t xml:space="preserve"> </w:t>
            </w:r>
            <w:r w:rsidR="00004538" w:rsidRPr="00B251A0">
              <w:rPr>
                <w:rFonts w:eastAsia="Times New Roman" w:cs="Arial"/>
                <w:color w:val="4472C4" w:themeColor="accent1"/>
                <w:kern w:val="36"/>
                <w:sz w:val="20"/>
                <w:szCs w:val="20"/>
                <w:lang w:eastAsia="en-GB"/>
              </w:rPr>
              <w:t>short-medium term sources of supply</w:t>
            </w:r>
            <w:r w:rsidR="00B935E0" w:rsidRPr="00B251A0">
              <w:rPr>
                <w:rFonts w:eastAsia="Times New Roman" w:cs="Arial"/>
                <w:color w:val="4472C4" w:themeColor="accent1"/>
                <w:kern w:val="36"/>
                <w:sz w:val="20"/>
                <w:szCs w:val="20"/>
                <w:lang w:eastAsia="en-GB"/>
              </w:rPr>
              <w:t xml:space="preserve"> that paragraph 11.19 refers to</w:t>
            </w:r>
            <w:r w:rsidR="00004538" w:rsidRPr="00B251A0">
              <w:rPr>
                <w:rFonts w:eastAsia="Times New Roman" w:cs="Arial"/>
                <w:color w:val="4472C4" w:themeColor="accent1"/>
                <w:kern w:val="36"/>
                <w:sz w:val="20"/>
                <w:szCs w:val="20"/>
                <w:lang w:eastAsia="en-GB"/>
              </w:rPr>
              <w:t xml:space="preserve"> (smaller sites in urban areas and villages), like Land at Crow's Nest Farm, Papworth Everard (Greater Cambridge HELAA (2021) Site Reference: 48096)</w:t>
            </w:r>
            <w:r w:rsidR="008F7140" w:rsidRPr="00B251A0">
              <w:rPr>
                <w:rFonts w:eastAsia="Times New Roman" w:cs="Arial"/>
                <w:color w:val="4472C4" w:themeColor="accent1"/>
                <w:kern w:val="36"/>
                <w:sz w:val="20"/>
                <w:szCs w:val="20"/>
                <w:lang w:eastAsia="en-GB"/>
              </w:rPr>
              <w:t>.</w:t>
            </w:r>
          </w:p>
          <w:p w14:paraId="0A1F92B0" w14:textId="0347B96B" w:rsidR="00004538" w:rsidRPr="00B251A0" w:rsidRDefault="00004538" w:rsidP="00004538">
            <w:pPr>
              <w:pStyle w:val="ListParagraph"/>
              <w:numPr>
                <w:ilvl w:val="0"/>
                <w:numId w:val="11"/>
              </w:numPr>
              <w:shd w:val="clear" w:color="auto" w:fill="FFFFFF"/>
              <w:spacing w:line="240" w:lineRule="auto"/>
              <w:outlineLvl w:val="0"/>
              <w:rPr>
                <w:rFonts w:eastAsia="Times New Roman" w:cs="Arial"/>
                <w:color w:val="4472C4" w:themeColor="accent1"/>
                <w:kern w:val="36"/>
                <w:sz w:val="20"/>
                <w:szCs w:val="20"/>
                <w:lang w:eastAsia="en-GB"/>
              </w:rPr>
            </w:pPr>
            <w:r w:rsidRPr="00B251A0">
              <w:rPr>
                <w:rFonts w:eastAsia="Times New Roman" w:cs="Arial"/>
                <w:color w:val="4472C4" w:themeColor="accent1"/>
                <w:kern w:val="36"/>
                <w:sz w:val="20"/>
                <w:szCs w:val="20"/>
                <w:lang w:eastAsia="en-GB"/>
              </w:rPr>
              <w:t>As paragraph 11.19 points out, spatial options that combine such sites with longer-term sources are better able to deliver across the plan period as a whole with a smoother trajectory.</w:t>
            </w:r>
          </w:p>
          <w:p w14:paraId="71A0EE59" w14:textId="6B656131" w:rsidR="003A36DA" w:rsidRPr="00B251A0" w:rsidRDefault="003A36DA" w:rsidP="00004538">
            <w:pPr>
              <w:pStyle w:val="ListParagraph"/>
              <w:numPr>
                <w:ilvl w:val="0"/>
                <w:numId w:val="11"/>
              </w:numPr>
              <w:shd w:val="clear" w:color="auto" w:fill="FFFFFF"/>
              <w:spacing w:line="240" w:lineRule="auto"/>
              <w:outlineLvl w:val="0"/>
              <w:rPr>
                <w:rFonts w:eastAsia="Times New Roman" w:cs="Arial"/>
                <w:color w:val="4472C4" w:themeColor="accent1"/>
                <w:kern w:val="36"/>
                <w:sz w:val="20"/>
                <w:szCs w:val="20"/>
                <w:lang w:eastAsia="en-GB"/>
              </w:rPr>
            </w:pPr>
            <w:r w:rsidRPr="00B251A0">
              <w:rPr>
                <w:rFonts w:eastAsia="Times New Roman" w:cs="Arial"/>
                <w:color w:val="4472C4" w:themeColor="accent1"/>
                <w:kern w:val="36"/>
                <w:sz w:val="20"/>
                <w:szCs w:val="20"/>
                <w:lang w:eastAsia="en-GB"/>
              </w:rPr>
              <w:t>It is also the case that these short-medium term sources will provide greater variety in terms of location, size, type and tenure of housing and will, as stated in paragraph 11.19, “[better-match] the housing supply with demand”. These are essential matters in themselves but are of even greater import when coupled with their ability to gap-fill the housing supply ‘troughs’.</w:t>
            </w:r>
          </w:p>
          <w:p w14:paraId="30FA4295" w14:textId="5C7B36C5" w:rsidR="003A36DA" w:rsidRPr="00B251A0" w:rsidRDefault="003A36DA" w:rsidP="00004538">
            <w:pPr>
              <w:pStyle w:val="ListParagraph"/>
              <w:numPr>
                <w:ilvl w:val="0"/>
                <w:numId w:val="11"/>
              </w:numPr>
              <w:shd w:val="clear" w:color="auto" w:fill="FFFFFF"/>
              <w:spacing w:line="240" w:lineRule="auto"/>
              <w:outlineLvl w:val="0"/>
              <w:rPr>
                <w:rFonts w:eastAsia="Times New Roman" w:cs="Arial"/>
                <w:b/>
                <w:bCs/>
                <w:color w:val="4472C4" w:themeColor="accent1"/>
                <w:kern w:val="36"/>
                <w:sz w:val="20"/>
                <w:szCs w:val="20"/>
                <w:lang w:eastAsia="en-GB"/>
              </w:rPr>
            </w:pPr>
            <w:r w:rsidRPr="00B251A0">
              <w:rPr>
                <w:rFonts w:eastAsia="Times New Roman" w:cs="Arial"/>
                <w:b/>
                <w:bCs/>
                <w:color w:val="4472C4" w:themeColor="accent1"/>
                <w:kern w:val="36"/>
                <w:sz w:val="20"/>
                <w:szCs w:val="20"/>
                <w:lang w:eastAsia="en-GB"/>
              </w:rPr>
              <w:t xml:space="preserve">Land at Crow's Nest Farm, Papworth Everard (Greater Cambridge HELAA (2021) Site Reference: 48096) and other small-medium sites </w:t>
            </w:r>
            <w:r w:rsidR="00B935E0" w:rsidRPr="00B251A0">
              <w:rPr>
                <w:rFonts w:eastAsia="Times New Roman" w:cs="Arial"/>
                <w:b/>
                <w:bCs/>
                <w:color w:val="4472C4" w:themeColor="accent1"/>
                <w:kern w:val="36"/>
                <w:sz w:val="20"/>
                <w:szCs w:val="20"/>
                <w:lang w:eastAsia="en-GB"/>
              </w:rPr>
              <w:t>that</w:t>
            </w:r>
            <w:r w:rsidRPr="00B251A0">
              <w:rPr>
                <w:rFonts w:eastAsia="Times New Roman" w:cs="Arial"/>
                <w:b/>
                <w:bCs/>
                <w:color w:val="4472C4" w:themeColor="accent1"/>
                <w:kern w:val="36"/>
                <w:sz w:val="20"/>
                <w:szCs w:val="20"/>
                <w:lang w:eastAsia="en-GB"/>
              </w:rPr>
              <w:t xml:space="preserve"> are well located in </w:t>
            </w:r>
            <w:r w:rsidRPr="00B251A0">
              <w:rPr>
                <w:rFonts w:eastAsia="Times New Roman" w:cs="Arial"/>
                <w:b/>
                <w:bCs/>
                <w:color w:val="4472C4" w:themeColor="accent1"/>
                <w:kern w:val="36"/>
                <w:sz w:val="20"/>
                <w:szCs w:val="20"/>
                <w:lang w:eastAsia="en-GB"/>
              </w:rPr>
              <w:lastRenderedPageBreak/>
              <w:t>relation to public transport corridors and nodes should therefore be allocated in order to:</w:t>
            </w:r>
          </w:p>
          <w:p w14:paraId="74C62E39" w14:textId="2568BCDB" w:rsidR="00B935E0" w:rsidRPr="00B251A0" w:rsidRDefault="003A36DA" w:rsidP="00B935E0">
            <w:pPr>
              <w:pStyle w:val="ListParagraph"/>
              <w:numPr>
                <w:ilvl w:val="0"/>
                <w:numId w:val="20"/>
              </w:numPr>
              <w:shd w:val="clear" w:color="auto" w:fill="FFFFFF"/>
              <w:spacing w:line="240" w:lineRule="auto"/>
              <w:outlineLvl w:val="0"/>
              <w:rPr>
                <w:rFonts w:eastAsia="Times New Roman" w:cs="Arial"/>
                <w:b/>
                <w:bCs/>
                <w:color w:val="4472C4" w:themeColor="accent1"/>
                <w:kern w:val="36"/>
                <w:sz w:val="20"/>
                <w:szCs w:val="20"/>
                <w:lang w:eastAsia="en-GB"/>
              </w:rPr>
            </w:pPr>
            <w:r w:rsidRPr="00B251A0">
              <w:rPr>
                <w:rFonts w:eastAsia="Times New Roman" w:cs="Arial"/>
                <w:b/>
                <w:bCs/>
                <w:color w:val="4472C4" w:themeColor="accent1"/>
                <w:kern w:val="36"/>
                <w:sz w:val="20"/>
                <w:szCs w:val="20"/>
                <w:lang w:eastAsia="en-GB"/>
              </w:rPr>
              <w:t xml:space="preserve">Provide a reliable, smooth supply of housing land over </w:t>
            </w:r>
            <w:r w:rsidR="008F7140" w:rsidRPr="00B251A0">
              <w:rPr>
                <w:rFonts w:eastAsia="Times New Roman" w:cs="Arial"/>
                <w:b/>
                <w:bCs/>
                <w:color w:val="4472C4" w:themeColor="accent1"/>
                <w:kern w:val="36"/>
                <w:sz w:val="20"/>
                <w:szCs w:val="20"/>
                <w:lang w:eastAsia="en-GB"/>
              </w:rPr>
              <w:t>the whole</w:t>
            </w:r>
            <w:r w:rsidRPr="00B251A0">
              <w:rPr>
                <w:rFonts w:eastAsia="Times New Roman" w:cs="Arial"/>
                <w:b/>
                <w:bCs/>
                <w:color w:val="4472C4" w:themeColor="accent1"/>
                <w:kern w:val="36"/>
                <w:sz w:val="20"/>
                <w:szCs w:val="20"/>
                <w:lang w:eastAsia="en-GB"/>
              </w:rPr>
              <w:t xml:space="preserve"> plan period; and</w:t>
            </w:r>
          </w:p>
          <w:p w14:paraId="701BA37C" w14:textId="6D8809B2" w:rsidR="001C5B1C" w:rsidRPr="00B251A0" w:rsidRDefault="003A36DA" w:rsidP="00B935E0">
            <w:pPr>
              <w:pStyle w:val="ListParagraph"/>
              <w:numPr>
                <w:ilvl w:val="0"/>
                <w:numId w:val="20"/>
              </w:numPr>
              <w:shd w:val="clear" w:color="auto" w:fill="FFFFFF"/>
              <w:spacing w:line="240" w:lineRule="auto"/>
              <w:outlineLvl w:val="0"/>
              <w:rPr>
                <w:rFonts w:eastAsia="Times New Roman" w:cs="Arial"/>
                <w:b/>
                <w:bCs/>
                <w:color w:val="4472C4" w:themeColor="accent1"/>
                <w:kern w:val="36"/>
                <w:sz w:val="20"/>
                <w:szCs w:val="20"/>
                <w:lang w:eastAsia="en-GB"/>
              </w:rPr>
            </w:pPr>
            <w:r w:rsidRPr="00B251A0">
              <w:rPr>
                <w:rFonts w:eastAsia="Times New Roman" w:cs="Arial"/>
                <w:b/>
                <w:bCs/>
                <w:color w:val="4472C4" w:themeColor="accent1"/>
                <w:kern w:val="36"/>
                <w:sz w:val="20"/>
                <w:szCs w:val="20"/>
                <w:lang w:eastAsia="en-GB"/>
              </w:rPr>
              <w:t>Provide as much choice as possible in terms of the location, size, type and tenure of housing</w:t>
            </w:r>
            <w:r w:rsidR="00B935E0" w:rsidRPr="00B251A0">
              <w:rPr>
                <w:rFonts w:eastAsia="Times New Roman" w:cs="Arial"/>
                <w:b/>
                <w:bCs/>
                <w:color w:val="4472C4" w:themeColor="accent1"/>
                <w:kern w:val="36"/>
                <w:sz w:val="20"/>
                <w:szCs w:val="20"/>
                <w:lang w:eastAsia="en-GB"/>
              </w:rPr>
              <w:t xml:space="preserve"> that the plan can offer.</w:t>
            </w:r>
          </w:p>
          <w:p w14:paraId="7FEF27E2" w14:textId="77777777" w:rsidR="006334E3" w:rsidRPr="00B251A0" w:rsidRDefault="006334E3" w:rsidP="00034F73">
            <w:pPr>
              <w:shd w:val="clear" w:color="auto" w:fill="FFFFFF"/>
              <w:spacing w:line="240" w:lineRule="auto"/>
              <w:outlineLvl w:val="0"/>
              <w:rPr>
                <w:rFonts w:cs="Arial"/>
                <w:sz w:val="16"/>
                <w:szCs w:val="16"/>
              </w:rPr>
            </w:pPr>
          </w:p>
        </w:tc>
      </w:tr>
      <w:tr w:rsidR="00761AE5" w:rsidRPr="00B251A0" w14:paraId="7FDA27E0" w14:textId="0CA8623B" w:rsidTr="00761AE5">
        <w:tc>
          <w:tcPr>
            <w:tcW w:w="3256" w:type="dxa"/>
          </w:tcPr>
          <w:p w14:paraId="205534E0" w14:textId="77777777" w:rsidR="00761AE5" w:rsidRPr="00B251A0" w:rsidRDefault="00761AE5" w:rsidP="004110DA">
            <w:pPr>
              <w:spacing w:line="240" w:lineRule="auto"/>
              <w:rPr>
                <w:rFonts w:cs="Arial"/>
                <w:i/>
                <w:iCs/>
                <w:color w:val="3B3B3B"/>
                <w:sz w:val="20"/>
                <w:szCs w:val="20"/>
              </w:rPr>
            </w:pPr>
            <w:r w:rsidRPr="00B251A0">
              <w:rPr>
                <w:rFonts w:cs="Arial"/>
                <w:i/>
                <w:iCs/>
                <w:color w:val="3B3B3B"/>
                <w:sz w:val="20"/>
                <w:szCs w:val="20"/>
              </w:rPr>
              <w:lastRenderedPageBreak/>
              <w:t>S/JH: New jobs and homes</w:t>
            </w:r>
          </w:p>
        </w:tc>
        <w:tc>
          <w:tcPr>
            <w:tcW w:w="5760" w:type="dxa"/>
          </w:tcPr>
          <w:p w14:paraId="2541AE95" w14:textId="6C8D20B9" w:rsidR="004110DA" w:rsidRPr="00B251A0" w:rsidRDefault="004110DA" w:rsidP="00034F73">
            <w:pPr>
              <w:shd w:val="clear" w:color="auto" w:fill="FFFFFF"/>
              <w:spacing w:line="240" w:lineRule="auto"/>
              <w:rPr>
                <w:rFonts w:cs="Arial"/>
                <w:i/>
                <w:iCs/>
                <w:color w:val="3B3B3B"/>
                <w:sz w:val="20"/>
                <w:szCs w:val="20"/>
              </w:rPr>
            </w:pPr>
            <w:r w:rsidRPr="00B251A0">
              <w:rPr>
                <w:rFonts w:cs="Arial"/>
                <w:i/>
                <w:iCs/>
                <w:color w:val="3B3B3B"/>
                <w:sz w:val="20"/>
                <w:szCs w:val="20"/>
              </w:rPr>
              <w:t>“We propose that the new </w:t>
            </w:r>
            <w:r w:rsidR="00E0219B" w:rsidRPr="00B251A0">
              <w:rPr>
                <w:rFonts w:cs="Arial"/>
                <w:i/>
                <w:iCs/>
                <w:color w:val="3B3B3B"/>
                <w:sz w:val="20"/>
                <w:szCs w:val="20"/>
              </w:rPr>
              <w:t>Local Plan</w:t>
            </w:r>
            <w:r w:rsidRPr="00B251A0">
              <w:rPr>
                <w:rFonts w:cs="Arial"/>
                <w:i/>
                <w:iCs/>
                <w:color w:val="3B3B3B"/>
                <w:sz w:val="20"/>
                <w:szCs w:val="20"/>
              </w:rPr>
              <w:t> will meet the following objectively assessed needs for development in the period 2020-2041:</w:t>
            </w:r>
          </w:p>
          <w:p w14:paraId="63D35B33" w14:textId="77777777" w:rsidR="004110DA" w:rsidRPr="00B251A0" w:rsidRDefault="004110DA" w:rsidP="00034F73">
            <w:pPr>
              <w:numPr>
                <w:ilvl w:val="0"/>
                <w:numId w:val="9"/>
              </w:numPr>
              <w:shd w:val="clear" w:color="auto" w:fill="FFFFFF"/>
              <w:spacing w:line="240" w:lineRule="auto"/>
              <w:rPr>
                <w:rFonts w:cs="Arial"/>
                <w:i/>
                <w:iCs/>
                <w:color w:val="3B3B3B"/>
                <w:sz w:val="20"/>
                <w:szCs w:val="20"/>
              </w:rPr>
            </w:pPr>
            <w:r w:rsidRPr="00B251A0">
              <w:rPr>
                <w:rFonts w:cs="Arial"/>
                <w:i/>
                <w:iCs/>
                <w:color w:val="3B3B3B"/>
                <w:sz w:val="20"/>
                <w:szCs w:val="20"/>
              </w:rPr>
              <w:t>58,500 jobs </w:t>
            </w:r>
          </w:p>
          <w:p w14:paraId="3E5EA1E6" w14:textId="34608684" w:rsidR="004110DA" w:rsidRPr="00B251A0" w:rsidRDefault="004110DA" w:rsidP="00034F73">
            <w:pPr>
              <w:numPr>
                <w:ilvl w:val="0"/>
                <w:numId w:val="9"/>
              </w:numPr>
              <w:shd w:val="clear" w:color="auto" w:fill="FFFFFF"/>
              <w:spacing w:line="240" w:lineRule="auto"/>
              <w:rPr>
                <w:rFonts w:cs="Arial"/>
                <w:i/>
                <w:iCs/>
                <w:color w:val="3B3B3B"/>
                <w:sz w:val="20"/>
                <w:szCs w:val="20"/>
              </w:rPr>
            </w:pPr>
            <w:r w:rsidRPr="00B251A0">
              <w:rPr>
                <w:rFonts w:cs="Arial"/>
                <w:i/>
                <w:iCs/>
                <w:color w:val="3B3B3B"/>
                <w:sz w:val="20"/>
                <w:szCs w:val="20"/>
              </w:rPr>
              <w:t>44,400 homes, reflecting an annual objectively assessed need of 2,111 homes per year, which is rounded for the plan.”</w:t>
            </w:r>
          </w:p>
          <w:p w14:paraId="0C7D98DE" w14:textId="495E2F00" w:rsidR="00034F73" w:rsidRPr="00034F73" w:rsidRDefault="00034F73" w:rsidP="00034F73">
            <w:pPr>
              <w:spacing w:line="240" w:lineRule="auto"/>
              <w:rPr>
                <w:sz w:val="20"/>
                <w:szCs w:val="20"/>
              </w:rPr>
            </w:pPr>
          </w:p>
          <w:p w14:paraId="3D3DEF3D" w14:textId="77777777" w:rsidR="00034F73" w:rsidRPr="00034F73" w:rsidRDefault="00034F73" w:rsidP="00034F73">
            <w:pPr>
              <w:spacing w:line="240" w:lineRule="auto"/>
              <w:rPr>
                <w:sz w:val="20"/>
                <w:szCs w:val="20"/>
              </w:rPr>
            </w:pPr>
          </w:p>
          <w:p w14:paraId="1C50D209" w14:textId="77777777" w:rsidR="001E41FC" w:rsidRPr="00B251A0" w:rsidRDefault="001E41FC" w:rsidP="00034F73">
            <w:pPr>
              <w:pStyle w:val="ListParagraph"/>
              <w:numPr>
                <w:ilvl w:val="0"/>
                <w:numId w:val="12"/>
              </w:numPr>
              <w:shd w:val="clear" w:color="auto" w:fill="FFFFFF"/>
              <w:spacing w:line="240" w:lineRule="auto"/>
              <w:rPr>
                <w:rFonts w:cs="Arial"/>
                <w:color w:val="4472C4" w:themeColor="accent1"/>
                <w:sz w:val="20"/>
                <w:szCs w:val="20"/>
              </w:rPr>
            </w:pPr>
            <w:r w:rsidRPr="00B251A0">
              <w:rPr>
                <w:rFonts w:cs="Arial"/>
                <w:color w:val="4472C4" w:themeColor="accent1"/>
                <w:sz w:val="20"/>
                <w:szCs w:val="20"/>
              </w:rPr>
              <w:t>Despite being significant, the level of growth proposed is insufficient.</w:t>
            </w:r>
          </w:p>
          <w:p w14:paraId="63967683" w14:textId="0F48690D" w:rsidR="001E41FC" w:rsidRPr="00B251A0" w:rsidRDefault="001E41FC" w:rsidP="001E41FC">
            <w:pPr>
              <w:pStyle w:val="ListParagraph"/>
              <w:numPr>
                <w:ilvl w:val="0"/>
                <w:numId w:val="12"/>
              </w:numPr>
              <w:shd w:val="clear" w:color="auto" w:fill="FFFFFF"/>
              <w:spacing w:line="240" w:lineRule="auto"/>
              <w:rPr>
                <w:rFonts w:cs="Arial"/>
                <w:color w:val="4472C4" w:themeColor="accent1"/>
                <w:sz w:val="20"/>
                <w:szCs w:val="20"/>
              </w:rPr>
            </w:pPr>
            <w:r w:rsidRPr="00B251A0">
              <w:rPr>
                <w:rFonts w:cs="Arial"/>
                <w:color w:val="4472C4" w:themeColor="accent1"/>
                <w:sz w:val="20"/>
                <w:szCs w:val="20"/>
              </w:rPr>
              <w:t xml:space="preserve">Through their ongoing extensive and detailed research, Cambridge Ahead (likely the </w:t>
            </w:r>
            <w:r w:rsidR="008F7140" w:rsidRPr="00B251A0">
              <w:rPr>
                <w:rFonts w:cs="Arial"/>
                <w:color w:val="4472C4" w:themeColor="accent1"/>
                <w:sz w:val="20"/>
                <w:szCs w:val="20"/>
              </w:rPr>
              <w:t>foremost authority on the mater of</w:t>
            </w:r>
            <w:r w:rsidRPr="00B251A0">
              <w:rPr>
                <w:rFonts w:cs="Arial"/>
                <w:color w:val="4472C4" w:themeColor="accent1"/>
                <w:sz w:val="20"/>
                <w:szCs w:val="20"/>
              </w:rPr>
              <w:t xml:space="preserve"> Cambridge’s economy and growth), have concluded/demonstrated as follows with respect to the ‘First Proposals’:</w:t>
            </w:r>
          </w:p>
          <w:p w14:paraId="1E4D783A" w14:textId="67F2BFBB" w:rsidR="001E41FC" w:rsidRPr="00B251A0" w:rsidRDefault="001E41FC" w:rsidP="001E41FC">
            <w:pPr>
              <w:pStyle w:val="ListParagraph"/>
              <w:numPr>
                <w:ilvl w:val="1"/>
                <w:numId w:val="13"/>
              </w:numPr>
              <w:shd w:val="clear" w:color="auto" w:fill="FFFFFF"/>
              <w:spacing w:line="240" w:lineRule="auto"/>
              <w:rPr>
                <w:rFonts w:cs="Arial"/>
                <w:color w:val="4472C4" w:themeColor="accent1"/>
                <w:sz w:val="20"/>
                <w:szCs w:val="20"/>
              </w:rPr>
            </w:pPr>
            <w:r w:rsidRPr="00B251A0">
              <w:rPr>
                <w:rFonts w:cs="Arial"/>
                <w:color w:val="4472C4" w:themeColor="accent1"/>
                <w:sz w:val="20"/>
                <w:szCs w:val="20"/>
              </w:rPr>
              <w:t>If planned for well, higher growth rates than those proposed can be accommodated in a way that improves quality of life for existing and new residents in balance with the needs of the environment and the economy (i.e. in a sustainable way).</w:t>
            </w:r>
          </w:p>
          <w:p w14:paraId="04BCAE17" w14:textId="7CE4B201" w:rsidR="001E41FC" w:rsidRPr="00B251A0" w:rsidRDefault="001E41FC" w:rsidP="003F7D54">
            <w:pPr>
              <w:pStyle w:val="ListParagraph"/>
              <w:numPr>
                <w:ilvl w:val="1"/>
                <w:numId w:val="13"/>
              </w:numPr>
              <w:shd w:val="clear" w:color="auto" w:fill="FFFFFF"/>
              <w:spacing w:line="240" w:lineRule="auto"/>
              <w:rPr>
                <w:rFonts w:cs="Arial"/>
                <w:color w:val="4472C4" w:themeColor="accent1"/>
                <w:sz w:val="20"/>
                <w:szCs w:val="20"/>
              </w:rPr>
            </w:pPr>
            <w:r w:rsidRPr="00B251A0">
              <w:rPr>
                <w:rFonts w:cs="Arial"/>
                <w:color w:val="4472C4" w:themeColor="accent1"/>
                <w:sz w:val="20"/>
                <w:szCs w:val="20"/>
              </w:rPr>
              <w:t xml:space="preserve">The most recent growth data does not support the projections expressed in the </w:t>
            </w:r>
            <w:r w:rsidR="008F7140" w:rsidRPr="00B251A0">
              <w:rPr>
                <w:rFonts w:cs="Arial"/>
                <w:color w:val="4472C4" w:themeColor="accent1"/>
                <w:sz w:val="20"/>
                <w:szCs w:val="20"/>
              </w:rPr>
              <w:t>‘First Proposals’. This</w:t>
            </w:r>
            <w:r w:rsidR="006B45CF" w:rsidRPr="00B251A0">
              <w:rPr>
                <w:rFonts w:cs="Arial"/>
                <w:color w:val="4472C4" w:themeColor="accent1"/>
                <w:sz w:val="20"/>
                <w:szCs w:val="20"/>
              </w:rPr>
              <w:t xml:space="preserve"> </w:t>
            </w:r>
            <w:r w:rsidRPr="00B251A0">
              <w:rPr>
                <w:rFonts w:cs="Arial"/>
                <w:color w:val="4472C4" w:themeColor="accent1"/>
                <w:sz w:val="20"/>
                <w:szCs w:val="20"/>
              </w:rPr>
              <w:t>raises</w:t>
            </w:r>
            <w:r w:rsidR="008F7140" w:rsidRPr="00B251A0">
              <w:rPr>
                <w:rFonts w:cs="Arial"/>
                <w:color w:val="4472C4" w:themeColor="accent1"/>
                <w:sz w:val="20"/>
                <w:szCs w:val="20"/>
              </w:rPr>
              <w:t xml:space="preserve"> </w:t>
            </w:r>
            <w:r w:rsidRPr="00B251A0">
              <w:rPr>
                <w:rFonts w:cs="Arial"/>
                <w:color w:val="4472C4" w:themeColor="accent1"/>
                <w:sz w:val="20"/>
                <w:szCs w:val="20"/>
              </w:rPr>
              <w:t>concern</w:t>
            </w:r>
            <w:r w:rsidR="008F7140" w:rsidRPr="00B251A0">
              <w:rPr>
                <w:rFonts w:cs="Arial"/>
                <w:color w:val="4472C4" w:themeColor="accent1"/>
                <w:sz w:val="20"/>
                <w:szCs w:val="20"/>
              </w:rPr>
              <w:t>s</w:t>
            </w:r>
            <w:r w:rsidRPr="00B251A0">
              <w:rPr>
                <w:rFonts w:cs="Arial"/>
                <w:color w:val="4472C4" w:themeColor="accent1"/>
                <w:sz w:val="20"/>
                <w:szCs w:val="20"/>
              </w:rPr>
              <w:t xml:space="preserve"> that the</w:t>
            </w:r>
            <w:r w:rsidR="008F7140" w:rsidRPr="00B251A0">
              <w:rPr>
                <w:rFonts w:cs="Arial"/>
                <w:color w:val="4472C4" w:themeColor="accent1"/>
                <w:sz w:val="20"/>
                <w:szCs w:val="20"/>
              </w:rPr>
              <w:t xml:space="preserve"> Councils</w:t>
            </w:r>
            <w:r w:rsidRPr="00B251A0">
              <w:rPr>
                <w:rFonts w:cs="Arial"/>
                <w:color w:val="4472C4" w:themeColor="accent1"/>
                <w:sz w:val="20"/>
                <w:szCs w:val="20"/>
              </w:rPr>
              <w:t xml:space="preserve"> will again serially underestimate the opportunities that high</w:t>
            </w:r>
            <w:r w:rsidR="008F7140" w:rsidRPr="00B251A0">
              <w:rPr>
                <w:rFonts w:cs="Arial"/>
                <w:color w:val="4472C4" w:themeColor="accent1"/>
                <w:sz w:val="20"/>
                <w:szCs w:val="20"/>
              </w:rPr>
              <w:t xml:space="preserve"> </w:t>
            </w:r>
            <w:r w:rsidRPr="00B251A0">
              <w:rPr>
                <w:rFonts w:cs="Arial"/>
                <w:color w:val="4472C4" w:themeColor="accent1"/>
                <w:sz w:val="20"/>
                <w:szCs w:val="20"/>
              </w:rPr>
              <w:t>growth creates.</w:t>
            </w:r>
          </w:p>
          <w:p w14:paraId="556F5829" w14:textId="237C41F7" w:rsidR="001E41FC" w:rsidRPr="00B251A0" w:rsidRDefault="001E41FC" w:rsidP="001E41FC">
            <w:pPr>
              <w:pStyle w:val="ListParagraph"/>
              <w:numPr>
                <w:ilvl w:val="1"/>
                <w:numId w:val="13"/>
              </w:numPr>
              <w:shd w:val="clear" w:color="auto" w:fill="FFFFFF"/>
              <w:spacing w:line="240" w:lineRule="auto"/>
              <w:rPr>
                <w:rFonts w:cs="Arial"/>
                <w:color w:val="4472C4" w:themeColor="accent1"/>
                <w:sz w:val="20"/>
                <w:szCs w:val="20"/>
              </w:rPr>
            </w:pPr>
            <w:r w:rsidRPr="00B251A0">
              <w:rPr>
                <w:rFonts w:cs="Arial"/>
                <w:b/>
                <w:bCs/>
                <w:color w:val="4472C4" w:themeColor="accent1"/>
                <w:sz w:val="20"/>
                <w:szCs w:val="20"/>
              </w:rPr>
              <w:t xml:space="preserve">Cambridge Ahead’s view is that the long run rates in the </w:t>
            </w:r>
            <w:r w:rsidR="008F7140" w:rsidRPr="00B251A0">
              <w:rPr>
                <w:rFonts w:cs="Arial"/>
                <w:b/>
                <w:bCs/>
                <w:color w:val="4472C4" w:themeColor="accent1"/>
                <w:sz w:val="20"/>
                <w:szCs w:val="20"/>
              </w:rPr>
              <w:t>‘First Proposals’</w:t>
            </w:r>
            <w:r w:rsidRPr="00B251A0">
              <w:rPr>
                <w:rFonts w:cs="Arial"/>
                <w:b/>
                <w:bCs/>
                <w:color w:val="4472C4" w:themeColor="accent1"/>
                <w:sz w:val="20"/>
                <w:szCs w:val="20"/>
              </w:rPr>
              <w:t xml:space="preserve"> are adopting an under-estimate and do not provide the best possible objective assessment of the area’s growth.</w:t>
            </w:r>
            <w:r w:rsidRPr="00B251A0">
              <w:rPr>
                <w:rFonts w:cs="Arial"/>
                <w:color w:val="4472C4" w:themeColor="accent1"/>
                <w:sz w:val="20"/>
                <w:szCs w:val="20"/>
              </w:rPr>
              <w:t xml:space="preserve"> As a result, the </w:t>
            </w:r>
            <w:r w:rsidR="008F7140" w:rsidRPr="00B251A0">
              <w:rPr>
                <w:rFonts w:cs="Arial"/>
                <w:b/>
                <w:bCs/>
                <w:color w:val="4472C4" w:themeColor="accent1"/>
                <w:sz w:val="20"/>
                <w:szCs w:val="20"/>
              </w:rPr>
              <w:t>‘</w:t>
            </w:r>
            <w:r w:rsidR="008F7140" w:rsidRPr="00B251A0">
              <w:rPr>
                <w:rFonts w:cs="Arial"/>
                <w:color w:val="4472C4" w:themeColor="accent1"/>
                <w:sz w:val="20"/>
                <w:szCs w:val="20"/>
              </w:rPr>
              <w:t>First Proposals’</w:t>
            </w:r>
            <w:r w:rsidRPr="00B251A0">
              <w:rPr>
                <w:rFonts w:cs="Arial"/>
                <w:color w:val="4472C4" w:themeColor="accent1"/>
                <w:sz w:val="20"/>
                <w:szCs w:val="20"/>
              </w:rPr>
              <w:t xml:space="preserve"> risk repeating the previous errors in the EEFM forecasts and ignoring the warnings flagged by the </w:t>
            </w:r>
            <w:r w:rsidR="00E0219B" w:rsidRPr="00B251A0">
              <w:rPr>
                <w:rFonts w:cs="Arial"/>
                <w:color w:val="4472C4" w:themeColor="accent1"/>
                <w:sz w:val="20"/>
                <w:szCs w:val="20"/>
              </w:rPr>
              <w:t xml:space="preserve">Cambridge Ahead’s </w:t>
            </w:r>
            <w:r w:rsidRPr="00B251A0">
              <w:rPr>
                <w:rFonts w:cs="Arial"/>
                <w:color w:val="4472C4" w:themeColor="accent1"/>
                <w:sz w:val="20"/>
                <w:szCs w:val="20"/>
              </w:rPr>
              <w:t xml:space="preserve">CPIER. </w:t>
            </w:r>
          </w:p>
          <w:p w14:paraId="2B95F264" w14:textId="1F6489F7" w:rsidR="001E41FC" w:rsidRPr="00B251A0" w:rsidRDefault="001E41FC" w:rsidP="001E41FC">
            <w:pPr>
              <w:pStyle w:val="ListParagraph"/>
              <w:numPr>
                <w:ilvl w:val="1"/>
                <w:numId w:val="13"/>
              </w:numPr>
              <w:shd w:val="clear" w:color="auto" w:fill="FFFFFF"/>
              <w:spacing w:line="240" w:lineRule="auto"/>
              <w:rPr>
                <w:rFonts w:cs="Arial"/>
                <w:color w:val="4472C4" w:themeColor="accent1"/>
                <w:sz w:val="20"/>
                <w:szCs w:val="20"/>
              </w:rPr>
            </w:pPr>
            <w:r w:rsidRPr="00B251A0">
              <w:rPr>
                <w:rFonts w:cs="Arial"/>
                <w:color w:val="4472C4" w:themeColor="accent1"/>
                <w:sz w:val="20"/>
                <w:szCs w:val="20"/>
              </w:rPr>
              <w:t xml:space="preserve">The three complementary arguments underlying the recommended </w:t>
            </w:r>
            <w:r w:rsidR="00C42453" w:rsidRPr="00B251A0">
              <w:rPr>
                <w:rFonts w:cs="Arial"/>
                <w:color w:val="4472C4" w:themeColor="accent1"/>
                <w:sz w:val="20"/>
                <w:szCs w:val="20"/>
              </w:rPr>
              <w:t>a</w:t>
            </w:r>
            <w:r w:rsidRPr="00B251A0">
              <w:rPr>
                <w:rFonts w:cs="Arial"/>
                <w:color w:val="4472C4" w:themeColor="accent1"/>
                <w:sz w:val="20"/>
                <w:szCs w:val="20"/>
              </w:rPr>
              <w:t xml:space="preserve">nnualised growth scenarios </w:t>
            </w:r>
            <w:r w:rsidR="00C42453" w:rsidRPr="00B251A0">
              <w:rPr>
                <w:rFonts w:cs="Arial"/>
                <w:color w:val="4472C4" w:themeColor="accent1"/>
                <w:sz w:val="20"/>
                <w:szCs w:val="20"/>
              </w:rPr>
              <w:t xml:space="preserve">for the emerging Plan </w:t>
            </w:r>
            <w:r w:rsidRPr="00B251A0">
              <w:rPr>
                <w:rFonts w:cs="Arial"/>
                <w:color w:val="4472C4" w:themeColor="accent1"/>
                <w:sz w:val="20"/>
                <w:szCs w:val="20"/>
              </w:rPr>
              <w:t>– KS3/1.1%, with the possibility of the slightly higher KS2/1.5% - have clear flaws</w:t>
            </w:r>
            <w:r w:rsidR="005F2C06" w:rsidRPr="00B251A0">
              <w:rPr>
                <w:rFonts w:cs="Arial"/>
                <w:color w:val="4472C4" w:themeColor="accent1"/>
                <w:sz w:val="20"/>
                <w:szCs w:val="20"/>
              </w:rPr>
              <w:t>,</w:t>
            </w:r>
            <w:r w:rsidRPr="00B251A0">
              <w:rPr>
                <w:rFonts w:cs="Arial"/>
                <w:color w:val="4472C4" w:themeColor="accent1"/>
                <w:sz w:val="20"/>
                <w:szCs w:val="20"/>
              </w:rPr>
              <w:t xml:space="preserve"> as set out </w:t>
            </w:r>
            <w:r w:rsidR="00C42453" w:rsidRPr="00B251A0">
              <w:rPr>
                <w:rFonts w:cs="Arial"/>
                <w:color w:val="4472C4" w:themeColor="accent1"/>
                <w:sz w:val="20"/>
                <w:szCs w:val="20"/>
              </w:rPr>
              <w:t>in</w:t>
            </w:r>
            <w:r w:rsidRPr="00B251A0">
              <w:rPr>
                <w:rFonts w:cs="Arial"/>
                <w:color w:val="4472C4" w:themeColor="accent1"/>
                <w:sz w:val="20"/>
                <w:szCs w:val="20"/>
              </w:rPr>
              <w:t xml:space="preserve"> GL Hearn’s analysis. The historical reversion to</w:t>
            </w:r>
            <w:r w:rsidR="005F2C06" w:rsidRPr="00B251A0">
              <w:rPr>
                <w:rFonts w:cs="Arial"/>
                <w:color w:val="4472C4" w:themeColor="accent1"/>
                <w:sz w:val="20"/>
                <w:szCs w:val="20"/>
              </w:rPr>
              <w:t xml:space="preserve"> the</w:t>
            </w:r>
            <w:r w:rsidRPr="00B251A0">
              <w:rPr>
                <w:rFonts w:cs="Arial"/>
                <w:color w:val="4472C4" w:themeColor="accent1"/>
                <w:sz w:val="20"/>
                <w:szCs w:val="20"/>
              </w:rPr>
              <w:t xml:space="preserve"> regional mean was notably higher than the recommended figure</w:t>
            </w:r>
            <w:r w:rsidR="00C42453" w:rsidRPr="00B251A0">
              <w:rPr>
                <w:rFonts w:cs="Arial"/>
                <w:color w:val="4472C4" w:themeColor="accent1"/>
                <w:sz w:val="20"/>
                <w:szCs w:val="20"/>
              </w:rPr>
              <w:t>. T</w:t>
            </w:r>
            <w:r w:rsidRPr="00B251A0">
              <w:rPr>
                <w:rFonts w:cs="Arial"/>
                <w:color w:val="4472C4" w:themeColor="accent1"/>
                <w:sz w:val="20"/>
                <w:szCs w:val="20"/>
              </w:rPr>
              <w:t>he reasons put forward for discounting the recent performance of the higher exogenous sectors have not provided supporting evidence and</w:t>
            </w:r>
            <w:r w:rsidR="00C42453" w:rsidRPr="00B251A0">
              <w:rPr>
                <w:rFonts w:cs="Arial"/>
                <w:color w:val="4472C4" w:themeColor="accent1"/>
                <w:sz w:val="20"/>
                <w:szCs w:val="20"/>
              </w:rPr>
              <w:t xml:space="preserve"> therefore</w:t>
            </w:r>
            <w:r w:rsidRPr="00B251A0">
              <w:rPr>
                <w:rFonts w:cs="Arial"/>
                <w:color w:val="4472C4" w:themeColor="accent1"/>
                <w:sz w:val="20"/>
                <w:szCs w:val="20"/>
              </w:rPr>
              <w:t xml:space="preserve"> lack</w:t>
            </w:r>
            <w:r w:rsidR="00C42453" w:rsidRPr="00B251A0">
              <w:rPr>
                <w:rFonts w:cs="Arial"/>
                <w:color w:val="4472C4" w:themeColor="accent1"/>
                <w:sz w:val="20"/>
                <w:szCs w:val="20"/>
              </w:rPr>
              <w:t xml:space="preserve"> </w:t>
            </w:r>
            <w:r w:rsidRPr="00B251A0">
              <w:rPr>
                <w:rFonts w:cs="Arial"/>
                <w:color w:val="4472C4" w:themeColor="accent1"/>
                <w:sz w:val="20"/>
                <w:szCs w:val="20"/>
              </w:rPr>
              <w:t>a credible evidential basis</w:t>
            </w:r>
            <w:r w:rsidR="00C42453" w:rsidRPr="00B251A0">
              <w:rPr>
                <w:rFonts w:cs="Arial"/>
                <w:color w:val="4472C4" w:themeColor="accent1"/>
                <w:sz w:val="20"/>
                <w:szCs w:val="20"/>
              </w:rPr>
              <w:t xml:space="preserve">. In addition, </w:t>
            </w:r>
            <w:r w:rsidRPr="00B251A0">
              <w:rPr>
                <w:rFonts w:cs="Arial"/>
                <w:color w:val="4472C4" w:themeColor="accent1"/>
                <w:sz w:val="20"/>
                <w:szCs w:val="20"/>
              </w:rPr>
              <w:t>the suggestion that the high growth between 2011-17 was peaking and</w:t>
            </w:r>
            <w:r w:rsidR="00C42453" w:rsidRPr="00B251A0">
              <w:rPr>
                <w:rFonts w:cs="Arial"/>
                <w:color w:val="4472C4" w:themeColor="accent1"/>
                <w:sz w:val="20"/>
                <w:szCs w:val="20"/>
              </w:rPr>
              <w:t xml:space="preserve"> is likely to</w:t>
            </w:r>
            <w:r w:rsidRPr="00B251A0">
              <w:rPr>
                <w:rFonts w:cs="Arial"/>
                <w:color w:val="4472C4" w:themeColor="accent1"/>
                <w:sz w:val="20"/>
                <w:szCs w:val="20"/>
              </w:rPr>
              <w:t xml:space="preserve"> regress to a future regional or national mean has not only been unconvincingly argued, but </w:t>
            </w:r>
            <w:r w:rsidRPr="00B251A0">
              <w:rPr>
                <w:rFonts w:cs="Arial"/>
                <w:color w:val="4472C4" w:themeColor="accent1"/>
                <w:sz w:val="20"/>
                <w:szCs w:val="20"/>
              </w:rPr>
              <w:lastRenderedPageBreak/>
              <w:t xml:space="preserve">has now been convincingly rebutted by the </w:t>
            </w:r>
            <w:r w:rsidR="00C42453" w:rsidRPr="00B251A0">
              <w:rPr>
                <w:rFonts w:cs="Arial"/>
                <w:color w:val="4472C4" w:themeColor="accent1"/>
                <w:sz w:val="20"/>
                <w:szCs w:val="20"/>
              </w:rPr>
              <w:t>c</w:t>
            </w:r>
            <w:r w:rsidRPr="00B251A0">
              <w:rPr>
                <w:rFonts w:cs="Arial"/>
                <w:color w:val="4472C4" w:themeColor="accent1"/>
                <w:sz w:val="20"/>
                <w:szCs w:val="20"/>
              </w:rPr>
              <w:t xml:space="preserve">ontinued high growth of the region. </w:t>
            </w:r>
          </w:p>
          <w:p w14:paraId="3280A379" w14:textId="3383F3E8" w:rsidR="001E41FC" w:rsidRPr="00B251A0" w:rsidRDefault="001E41FC" w:rsidP="001E41FC">
            <w:pPr>
              <w:pStyle w:val="ListParagraph"/>
              <w:numPr>
                <w:ilvl w:val="1"/>
                <w:numId w:val="13"/>
              </w:numPr>
              <w:shd w:val="clear" w:color="auto" w:fill="FFFFFF"/>
              <w:spacing w:line="240" w:lineRule="auto"/>
              <w:rPr>
                <w:rFonts w:cs="Arial"/>
                <w:color w:val="4472C4" w:themeColor="accent1"/>
                <w:sz w:val="20"/>
                <w:szCs w:val="20"/>
              </w:rPr>
            </w:pPr>
            <w:r w:rsidRPr="00B251A0">
              <w:rPr>
                <w:rFonts w:cs="Arial"/>
                <w:color w:val="4472C4" w:themeColor="accent1"/>
                <w:sz w:val="20"/>
                <w:szCs w:val="20"/>
              </w:rPr>
              <w:t>Accordingly, Cambridge Ahead do not feel that the recommended Plan annualised growth rates stand up to the test of providing an objective assessment for the region’s proposed future growth.</w:t>
            </w:r>
          </w:p>
          <w:p w14:paraId="6830D0BD" w14:textId="13F6EDD6" w:rsidR="005F2C06" w:rsidRPr="00B251A0" w:rsidRDefault="005F2C06" w:rsidP="005F2C06">
            <w:pPr>
              <w:pStyle w:val="ListParagraph"/>
              <w:numPr>
                <w:ilvl w:val="0"/>
                <w:numId w:val="13"/>
              </w:numPr>
              <w:shd w:val="clear" w:color="auto" w:fill="FFFFFF"/>
              <w:spacing w:line="240" w:lineRule="auto"/>
              <w:rPr>
                <w:rFonts w:cs="Arial"/>
                <w:color w:val="4472C4" w:themeColor="accent1"/>
                <w:sz w:val="20"/>
                <w:szCs w:val="20"/>
              </w:rPr>
            </w:pPr>
            <w:r w:rsidRPr="00B251A0">
              <w:rPr>
                <w:rFonts w:cs="Arial"/>
                <w:color w:val="4472C4" w:themeColor="accent1"/>
                <w:sz w:val="20"/>
                <w:szCs w:val="20"/>
              </w:rPr>
              <w:t>Having regard to Cambridge Ahead’s findings</w:t>
            </w:r>
            <w:r w:rsidR="002B6B85" w:rsidRPr="00B251A0">
              <w:rPr>
                <w:rFonts w:cs="Arial"/>
                <w:color w:val="4472C4" w:themeColor="accent1"/>
                <w:sz w:val="20"/>
                <w:szCs w:val="20"/>
              </w:rPr>
              <w:t xml:space="preserve"> therefore,</w:t>
            </w:r>
            <w:r w:rsidRPr="00B251A0">
              <w:rPr>
                <w:rFonts w:cs="Arial"/>
                <w:color w:val="4472C4" w:themeColor="accent1"/>
                <w:sz w:val="20"/>
                <w:szCs w:val="20"/>
              </w:rPr>
              <w:t xml:space="preserve"> higher rates of growth not just </w:t>
            </w:r>
            <w:r w:rsidRPr="00B251A0">
              <w:rPr>
                <w:rFonts w:cs="Arial"/>
                <w:color w:val="4472C4" w:themeColor="accent1"/>
                <w:sz w:val="20"/>
                <w:szCs w:val="20"/>
                <w:u w:val="single"/>
              </w:rPr>
              <w:t>can</w:t>
            </w:r>
            <w:r w:rsidRPr="00B251A0">
              <w:rPr>
                <w:rFonts w:cs="Arial"/>
                <w:color w:val="4472C4" w:themeColor="accent1"/>
                <w:sz w:val="20"/>
                <w:szCs w:val="20"/>
              </w:rPr>
              <w:t xml:space="preserve"> be provided for (because they can be delivered sustainably) but </w:t>
            </w:r>
            <w:r w:rsidRPr="00B251A0">
              <w:rPr>
                <w:rFonts w:cs="Arial"/>
                <w:color w:val="4472C4" w:themeColor="accent1"/>
                <w:sz w:val="20"/>
                <w:szCs w:val="20"/>
                <w:u w:val="single"/>
              </w:rPr>
              <w:t>should</w:t>
            </w:r>
            <w:r w:rsidRPr="00B251A0">
              <w:rPr>
                <w:rFonts w:cs="Arial"/>
                <w:color w:val="4472C4" w:themeColor="accent1"/>
                <w:sz w:val="20"/>
                <w:szCs w:val="20"/>
              </w:rPr>
              <w:t xml:space="preserve"> be provided for</w:t>
            </w:r>
            <w:r w:rsidR="002B6B85" w:rsidRPr="00B251A0">
              <w:rPr>
                <w:rFonts w:cs="Arial"/>
                <w:color w:val="4472C4" w:themeColor="accent1"/>
                <w:sz w:val="20"/>
                <w:szCs w:val="20"/>
              </w:rPr>
              <w:t xml:space="preserve"> (in order that the levels of growth that current trends show are most likely to occur over the plan period are catered for).</w:t>
            </w:r>
          </w:p>
          <w:p w14:paraId="61301B53" w14:textId="6C88272F" w:rsidR="005F2C06" w:rsidRPr="00B251A0" w:rsidRDefault="005F2C06" w:rsidP="00034F73">
            <w:pPr>
              <w:pStyle w:val="ListParagraph"/>
              <w:numPr>
                <w:ilvl w:val="0"/>
                <w:numId w:val="13"/>
              </w:numPr>
              <w:shd w:val="clear" w:color="auto" w:fill="FFFFFF"/>
              <w:spacing w:line="240" w:lineRule="auto"/>
              <w:rPr>
                <w:rFonts w:cs="Arial"/>
                <w:b/>
                <w:bCs/>
                <w:color w:val="4472C4" w:themeColor="accent1"/>
                <w:sz w:val="20"/>
                <w:szCs w:val="20"/>
              </w:rPr>
            </w:pPr>
            <w:r w:rsidRPr="00B251A0">
              <w:rPr>
                <w:rFonts w:cs="Arial"/>
                <w:b/>
                <w:bCs/>
                <w:color w:val="4472C4" w:themeColor="accent1"/>
                <w:sz w:val="20"/>
                <w:szCs w:val="20"/>
              </w:rPr>
              <w:t>The growth in jobs and homes proposed</w:t>
            </w:r>
            <w:r w:rsidR="002B6B85" w:rsidRPr="00B251A0">
              <w:rPr>
                <w:rFonts w:cs="Arial"/>
                <w:b/>
                <w:bCs/>
                <w:color w:val="4472C4" w:themeColor="accent1"/>
                <w:sz w:val="20"/>
                <w:szCs w:val="20"/>
              </w:rPr>
              <w:t xml:space="preserve"> in the </w:t>
            </w:r>
            <w:r w:rsidR="00C42453" w:rsidRPr="00B251A0">
              <w:rPr>
                <w:rFonts w:cs="Arial"/>
                <w:b/>
                <w:bCs/>
                <w:color w:val="4472C4" w:themeColor="accent1"/>
                <w:sz w:val="20"/>
                <w:szCs w:val="20"/>
              </w:rPr>
              <w:t>‘First Proposals’</w:t>
            </w:r>
            <w:r w:rsidRPr="00B251A0">
              <w:rPr>
                <w:rFonts w:cs="Arial"/>
                <w:b/>
                <w:bCs/>
                <w:color w:val="4472C4" w:themeColor="accent1"/>
                <w:sz w:val="20"/>
                <w:szCs w:val="20"/>
              </w:rPr>
              <w:t xml:space="preserve"> </w:t>
            </w:r>
            <w:r w:rsidR="006B45CF" w:rsidRPr="00B251A0">
              <w:rPr>
                <w:rFonts w:cs="Arial"/>
                <w:b/>
                <w:bCs/>
                <w:color w:val="4472C4" w:themeColor="accent1"/>
                <w:sz w:val="20"/>
                <w:szCs w:val="20"/>
              </w:rPr>
              <w:t xml:space="preserve">and subsequent drafts of the emerging local plan </w:t>
            </w:r>
            <w:r w:rsidRPr="00B251A0">
              <w:rPr>
                <w:rFonts w:cs="Arial"/>
                <w:b/>
                <w:bCs/>
                <w:color w:val="4472C4" w:themeColor="accent1"/>
                <w:sz w:val="20"/>
                <w:szCs w:val="20"/>
              </w:rPr>
              <w:t>should therefore be increased to the higher jobs and homes scenario (</w:t>
            </w:r>
            <w:r w:rsidR="002B6B85" w:rsidRPr="00B251A0">
              <w:rPr>
                <w:rFonts w:cs="Arial"/>
                <w:b/>
                <w:bCs/>
                <w:color w:val="4472C4" w:themeColor="accent1"/>
                <w:sz w:val="20"/>
                <w:szCs w:val="20"/>
              </w:rPr>
              <w:t xml:space="preserve">the ‘Maximum continue existing patterns’ scenario - </w:t>
            </w:r>
            <w:r w:rsidRPr="00B251A0">
              <w:rPr>
                <w:rFonts w:cs="Arial"/>
                <w:b/>
                <w:bCs/>
                <w:color w:val="4472C4" w:themeColor="accent1"/>
                <w:sz w:val="20"/>
                <w:szCs w:val="20"/>
              </w:rPr>
              <w:t>78,000 jobs and 53,500 homes)</w:t>
            </w:r>
            <w:r w:rsidR="002B6B85" w:rsidRPr="00B251A0">
              <w:rPr>
                <w:rFonts w:cs="Arial"/>
                <w:b/>
                <w:bCs/>
                <w:color w:val="4472C4" w:themeColor="accent1"/>
                <w:sz w:val="20"/>
                <w:szCs w:val="20"/>
              </w:rPr>
              <w:t>.</w:t>
            </w:r>
          </w:p>
          <w:p w14:paraId="642B9079" w14:textId="0C0FC1A4" w:rsidR="004110DA" w:rsidRDefault="004110DA" w:rsidP="00034F73">
            <w:pPr>
              <w:pStyle w:val="Heading2"/>
              <w:shd w:val="clear" w:color="auto" w:fill="FFFFFF"/>
              <w:spacing w:before="0" w:after="0" w:line="240" w:lineRule="auto"/>
              <w:rPr>
                <w:rFonts w:eastAsiaTheme="minorHAnsi" w:cs="Arial"/>
                <w:bCs/>
                <w:i/>
                <w:iCs/>
                <w:color w:val="3B3B3B"/>
                <w:sz w:val="20"/>
                <w:szCs w:val="20"/>
              </w:rPr>
            </w:pPr>
          </w:p>
          <w:p w14:paraId="5384792F" w14:textId="77777777" w:rsidR="00034F73" w:rsidRPr="00034F73" w:rsidRDefault="00034F73" w:rsidP="00034F73">
            <w:pPr>
              <w:spacing w:line="240" w:lineRule="auto"/>
              <w:rPr>
                <w:sz w:val="20"/>
                <w:szCs w:val="20"/>
              </w:rPr>
            </w:pPr>
          </w:p>
          <w:p w14:paraId="2A891195" w14:textId="7CC8B250" w:rsidR="004110DA" w:rsidRPr="00B251A0" w:rsidRDefault="002B6B85" w:rsidP="00034F73">
            <w:pPr>
              <w:pStyle w:val="Heading2"/>
              <w:shd w:val="clear" w:color="auto" w:fill="FFFFFF"/>
              <w:spacing w:before="0" w:after="0" w:line="240" w:lineRule="auto"/>
              <w:rPr>
                <w:rFonts w:eastAsiaTheme="minorHAnsi"/>
                <w:bCs/>
                <w:i/>
                <w:iCs/>
                <w:color w:val="3B3B3B"/>
                <w:sz w:val="20"/>
                <w:szCs w:val="20"/>
              </w:rPr>
            </w:pPr>
            <w:r w:rsidRPr="00B251A0">
              <w:rPr>
                <w:rFonts w:eastAsiaTheme="minorHAnsi" w:cs="Arial"/>
                <w:bCs/>
                <w:i/>
                <w:iCs/>
                <w:color w:val="3B3B3B"/>
                <w:sz w:val="20"/>
                <w:szCs w:val="20"/>
              </w:rPr>
              <w:t>“</w:t>
            </w:r>
            <w:r w:rsidR="004110DA" w:rsidRPr="00B251A0">
              <w:rPr>
                <w:rFonts w:eastAsiaTheme="minorHAnsi" w:cs="Arial"/>
                <w:bCs/>
                <w:i/>
                <w:iCs/>
                <w:color w:val="3B3B3B"/>
                <w:sz w:val="20"/>
                <w:szCs w:val="20"/>
              </w:rPr>
              <w:t>What alternatives did we consider?</w:t>
            </w:r>
          </w:p>
          <w:p w14:paraId="1A34AD62" w14:textId="7652668B" w:rsidR="004110DA" w:rsidRPr="00B251A0" w:rsidRDefault="004110DA" w:rsidP="004110DA">
            <w:pPr>
              <w:shd w:val="clear" w:color="auto" w:fill="FFFFFF"/>
              <w:spacing w:line="240" w:lineRule="auto"/>
              <w:rPr>
                <w:rFonts w:cs="Arial"/>
                <w:i/>
                <w:iCs/>
                <w:color w:val="3B3B3B"/>
                <w:sz w:val="20"/>
                <w:szCs w:val="20"/>
              </w:rPr>
            </w:pPr>
          </w:p>
          <w:p w14:paraId="5234D49C" w14:textId="77777777" w:rsidR="004110DA" w:rsidRPr="00B251A0" w:rsidRDefault="004110DA" w:rsidP="004110DA">
            <w:pPr>
              <w:shd w:val="clear" w:color="auto" w:fill="FFFFFF"/>
              <w:spacing w:line="240" w:lineRule="auto"/>
              <w:rPr>
                <w:rFonts w:cs="Arial"/>
                <w:i/>
                <w:iCs/>
                <w:color w:val="3B3B3B"/>
                <w:sz w:val="20"/>
                <w:szCs w:val="20"/>
              </w:rPr>
            </w:pPr>
          </w:p>
          <w:p w14:paraId="67745951" w14:textId="1A573A4C" w:rsidR="004110DA" w:rsidRPr="00B251A0" w:rsidRDefault="004110DA" w:rsidP="004110DA">
            <w:pPr>
              <w:shd w:val="clear" w:color="auto" w:fill="FFFFFF"/>
              <w:spacing w:line="240" w:lineRule="auto"/>
              <w:rPr>
                <w:rFonts w:cs="Arial"/>
                <w:i/>
                <w:iCs/>
                <w:color w:val="3B3B3B"/>
                <w:sz w:val="20"/>
                <w:szCs w:val="20"/>
              </w:rPr>
            </w:pPr>
            <w:r w:rsidRPr="00B251A0">
              <w:rPr>
                <w:rFonts w:cs="Arial"/>
                <w:i/>
                <w:iCs/>
                <w:color w:val="3B3B3B"/>
                <w:sz w:val="20"/>
                <w:szCs w:val="20"/>
              </w:rPr>
              <w:t>1. Planning for the higher jobs forecast and level of homes associated with it. This alternative was rejected as this higher jobs forecast could be possible, but is not the most likely future scenario. As such we do not consider that it represents our objectively assessed need, and would therefore not be a reasonable alternative.”</w:t>
            </w:r>
          </w:p>
          <w:p w14:paraId="001AD71C" w14:textId="2788790E" w:rsidR="004817EE" w:rsidRDefault="004817EE" w:rsidP="004110DA">
            <w:pPr>
              <w:shd w:val="clear" w:color="auto" w:fill="FFFFFF"/>
              <w:spacing w:line="240" w:lineRule="auto"/>
              <w:rPr>
                <w:rFonts w:cs="Arial"/>
                <w:color w:val="4472C4" w:themeColor="accent1"/>
                <w:sz w:val="20"/>
                <w:szCs w:val="20"/>
              </w:rPr>
            </w:pPr>
          </w:p>
          <w:p w14:paraId="3998DE2F" w14:textId="77777777" w:rsidR="00034F73" w:rsidRPr="00B251A0" w:rsidRDefault="00034F73" w:rsidP="004110DA">
            <w:pPr>
              <w:shd w:val="clear" w:color="auto" w:fill="FFFFFF"/>
              <w:spacing w:line="240" w:lineRule="auto"/>
              <w:rPr>
                <w:rFonts w:cs="Arial"/>
                <w:color w:val="4472C4" w:themeColor="accent1"/>
                <w:sz w:val="20"/>
                <w:szCs w:val="20"/>
              </w:rPr>
            </w:pPr>
          </w:p>
          <w:p w14:paraId="2C9426E9" w14:textId="5649E98D" w:rsidR="004817EE" w:rsidRPr="00B251A0" w:rsidRDefault="001E41FC" w:rsidP="001E41FC">
            <w:pPr>
              <w:pStyle w:val="ListParagraph"/>
              <w:numPr>
                <w:ilvl w:val="0"/>
                <w:numId w:val="18"/>
              </w:numPr>
              <w:shd w:val="clear" w:color="auto" w:fill="FFFFFF"/>
              <w:spacing w:line="240" w:lineRule="auto"/>
              <w:rPr>
                <w:rFonts w:cs="Arial"/>
                <w:b/>
                <w:bCs/>
                <w:color w:val="4472C4" w:themeColor="accent1"/>
                <w:sz w:val="20"/>
                <w:szCs w:val="20"/>
              </w:rPr>
            </w:pPr>
            <w:r w:rsidRPr="00B251A0">
              <w:rPr>
                <w:rFonts w:cs="Arial"/>
                <w:b/>
                <w:bCs/>
                <w:color w:val="4472C4" w:themeColor="accent1"/>
                <w:sz w:val="20"/>
                <w:szCs w:val="20"/>
              </w:rPr>
              <w:t>In view of the foregoing</w:t>
            </w:r>
            <w:r w:rsidR="007C13DB" w:rsidRPr="00B251A0">
              <w:rPr>
                <w:rFonts w:cs="Arial"/>
                <w:b/>
                <w:bCs/>
                <w:color w:val="4472C4" w:themeColor="accent1"/>
                <w:sz w:val="20"/>
                <w:szCs w:val="20"/>
              </w:rPr>
              <w:t>,</w:t>
            </w:r>
            <w:r w:rsidRPr="00B251A0">
              <w:rPr>
                <w:rFonts w:cs="Arial"/>
                <w:b/>
                <w:bCs/>
                <w:color w:val="4472C4" w:themeColor="accent1"/>
                <w:sz w:val="20"/>
                <w:szCs w:val="20"/>
              </w:rPr>
              <w:t xml:space="preserve"> the higher jobs forecast</w:t>
            </w:r>
            <w:r w:rsidR="002B6B85" w:rsidRPr="00B251A0">
              <w:rPr>
                <w:rFonts w:cs="Arial"/>
                <w:b/>
                <w:bCs/>
                <w:color w:val="4472C4" w:themeColor="accent1"/>
                <w:sz w:val="20"/>
                <w:szCs w:val="20"/>
              </w:rPr>
              <w:t>, and therefore the need for the higher level of homes associated with it</w:t>
            </w:r>
            <w:r w:rsidR="0036426E" w:rsidRPr="00B251A0">
              <w:rPr>
                <w:rFonts w:cs="Arial"/>
                <w:b/>
                <w:bCs/>
                <w:color w:val="4472C4" w:themeColor="accent1"/>
                <w:sz w:val="20"/>
                <w:szCs w:val="20"/>
              </w:rPr>
              <w:t xml:space="preserve"> (</w:t>
            </w:r>
            <w:r w:rsidR="002B6B85" w:rsidRPr="00B251A0">
              <w:rPr>
                <w:rFonts w:cs="Arial"/>
                <w:b/>
                <w:bCs/>
                <w:color w:val="4472C4" w:themeColor="accent1"/>
                <w:sz w:val="20"/>
                <w:szCs w:val="20"/>
              </w:rPr>
              <w:t>the ‘Maximum continue existing patterns’ scenario - 78,000 jobs and 53,500 homes</w:t>
            </w:r>
            <w:r w:rsidR="0036426E" w:rsidRPr="00B251A0">
              <w:rPr>
                <w:rFonts w:cs="Arial"/>
                <w:b/>
                <w:bCs/>
                <w:color w:val="4472C4" w:themeColor="accent1"/>
                <w:sz w:val="20"/>
                <w:szCs w:val="20"/>
              </w:rPr>
              <w:t>)</w:t>
            </w:r>
            <w:r w:rsidR="002B6B85" w:rsidRPr="00B251A0">
              <w:rPr>
                <w:rFonts w:cs="Arial"/>
                <w:b/>
                <w:bCs/>
                <w:color w:val="4472C4" w:themeColor="accent1"/>
                <w:sz w:val="20"/>
                <w:szCs w:val="20"/>
              </w:rPr>
              <w:t>, is</w:t>
            </w:r>
            <w:r w:rsidRPr="00B251A0">
              <w:rPr>
                <w:rFonts w:cs="Arial"/>
                <w:b/>
                <w:bCs/>
                <w:color w:val="4472C4" w:themeColor="accent1"/>
                <w:sz w:val="20"/>
                <w:szCs w:val="20"/>
              </w:rPr>
              <w:t xml:space="preserve"> not just possible</w:t>
            </w:r>
            <w:r w:rsidR="002B6B85" w:rsidRPr="00B251A0">
              <w:rPr>
                <w:rFonts w:cs="Arial"/>
                <w:b/>
                <w:bCs/>
                <w:color w:val="4472C4" w:themeColor="accent1"/>
                <w:sz w:val="20"/>
                <w:szCs w:val="20"/>
              </w:rPr>
              <w:t xml:space="preserve"> </w:t>
            </w:r>
            <w:r w:rsidRPr="00B251A0">
              <w:rPr>
                <w:rFonts w:cs="Arial"/>
                <w:b/>
                <w:bCs/>
                <w:color w:val="4472C4" w:themeColor="accent1"/>
                <w:sz w:val="20"/>
                <w:szCs w:val="20"/>
              </w:rPr>
              <w:t xml:space="preserve">but </w:t>
            </w:r>
            <w:r w:rsidR="002B6B85" w:rsidRPr="00B251A0">
              <w:rPr>
                <w:rFonts w:cs="Arial"/>
                <w:b/>
                <w:bCs/>
                <w:color w:val="4472C4" w:themeColor="accent1"/>
                <w:sz w:val="20"/>
                <w:szCs w:val="20"/>
              </w:rPr>
              <w:t xml:space="preserve">is </w:t>
            </w:r>
            <w:r w:rsidRPr="00B251A0">
              <w:rPr>
                <w:rFonts w:cs="Arial"/>
                <w:b/>
                <w:bCs/>
                <w:color w:val="4472C4" w:themeColor="accent1"/>
                <w:sz w:val="20"/>
                <w:szCs w:val="20"/>
              </w:rPr>
              <w:t xml:space="preserve">what the evidence suggests is </w:t>
            </w:r>
            <w:r w:rsidR="002B6B85" w:rsidRPr="00B251A0">
              <w:rPr>
                <w:rFonts w:cs="Arial"/>
                <w:b/>
                <w:bCs/>
                <w:color w:val="4472C4" w:themeColor="accent1"/>
                <w:sz w:val="20"/>
                <w:szCs w:val="20"/>
              </w:rPr>
              <w:t xml:space="preserve">actually </w:t>
            </w:r>
            <w:r w:rsidRPr="00B251A0">
              <w:rPr>
                <w:rFonts w:cs="Arial"/>
                <w:b/>
                <w:bCs/>
                <w:color w:val="4472C4" w:themeColor="accent1"/>
                <w:sz w:val="20"/>
                <w:szCs w:val="20"/>
              </w:rPr>
              <w:t xml:space="preserve">the most likely </w:t>
            </w:r>
            <w:r w:rsidR="007C13DB" w:rsidRPr="00B251A0">
              <w:rPr>
                <w:rFonts w:cs="Arial"/>
                <w:b/>
                <w:bCs/>
                <w:color w:val="4472C4" w:themeColor="accent1"/>
                <w:sz w:val="20"/>
                <w:szCs w:val="20"/>
              </w:rPr>
              <w:t xml:space="preserve">future </w:t>
            </w:r>
            <w:r w:rsidRPr="00B251A0">
              <w:rPr>
                <w:rFonts w:cs="Arial"/>
                <w:b/>
                <w:bCs/>
                <w:color w:val="4472C4" w:themeColor="accent1"/>
                <w:sz w:val="20"/>
                <w:szCs w:val="20"/>
              </w:rPr>
              <w:t>scenario. Accordingly, th</w:t>
            </w:r>
            <w:r w:rsidR="0036426E" w:rsidRPr="00B251A0">
              <w:rPr>
                <w:rFonts w:cs="Arial"/>
                <w:b/>
                <w:bCs/>
                <w:color w:val="4472C4" w:themeColor="accent1"/>
                <w:sz w:val="20"/>
                <w:szCs w:val="20"/>
              </w:rPr>
              <w:t>is scenario is</w:t>
            </w:r>
            <w:r w:rsidRPr="00B251A0">
              <w:rPr>
                <w:rFonts w:cs="Arial"/>
                <w:b/>
                <w:bCs/>
                <w:color w:val="4472C4" w:themeColor="accent1"/>
                <w:sz w:val="20"/>
                <w:szCs w:val="20"/>
              </w:rPr>
              <w:t xml:space="preserve"> likely to represent the objectively assessed need for</w:t>
            </w:r>
            <w:r w:rsidR="002B6B85" w:rsidRPr="00B251A0">
              <w:rPr>
                <w:rFonts w:cs="Arial"/>
                <w:b/>
                <w:bCs/>
                <w:color w:val="4472C4" w:themeColor="accent1"/>
                <w:sz w:val="20"/>
                <w:szCs w:val="20"/>
              </w:rPr>
              <w:t xml:space="preserve"> jobs and housing in</w:t>
            </w:r>
            <w:r w:rsidRPr="00B251A0">
              <w:rPr>
                <w:rFonts w:cs="Arial"/>
                <w:b/>
                <w:bCs/>
                <w:color w:val="4472C4" w:themeColor="accent1"/>
                <w:sz w:val="20"/>
                <w:szCs w:val="20"/>
              </w:rPr>
              <w:t xml:space="preserve"> Greater Cambridge and should be adopted by the </w:t>
            </w:r>
            <w:r w:rsidR="007C13DB" w:rsidRPr="00B251A0">
              <w:rPr>
                <w:rFonts w:cs="Arial"/>
                <w:b/>
                <w:bCs/>
                <w:color w:val="4472C4" w:themeColor="accent1"/>
                <w:sz w:val="20"/>
                <w:szCs w:val="20"/>
              </w:rPr>
              <w:t>‘First Proposals’ and subsequent drafts of the emerging plan</w:t>
            </w:r>
            <w:r w:rsidRPr="00B251A0">
              <w:rPr>
                <w:rFonts w:cs="Arial"/>
                <w:b/>
                <w:bCs/>
                <w:color w:val="4472C4" w:themeColor="accent1"/>
                <w:sz w:val="20"/>
                <w:szCs w:val="20"/>
              </w:rPr>
              <w:t xml:space="preserve"> for this </w:t>
            </w:r>
            <w:r w:rsidR="007C13DB" w:rsidRPr="00B251A0">
              <w:rPr>
                <w:rFonts w:cs="Arial"/>
                <w:b/>
                <w:bCs/>
                <w:color w:val="4472C4" w:themeColor="accent1"/>
                <w:sz w:val="20"/>
                <w:szCs w:val="20"/>
              </w:rPr>
              <w:t>reason.</w:t>
            </w:r>
          </w:p>
          <w:p w14:paraId="171B7D31" w14:textId="6828036C" w:rsidR="004817EE" w:rsidRPr="00B251A0" w:rsidRDefault="004817EE" w:rsidP="00B2588E">
            <w:pPr>
              <w:shd w:val="clear" w:color="auto" w:fill="FFFFFF"/>
              <w:spacing w:line="240" w:lineRule="auto"/>
              <w:outlineLvl w:val="0"/>
              <w:rPr>
                <w:rFonts w:eastAsia="Times New Roman" w:cs="Arial"/>
                <w:color w:val="3B3B3B"/>
                <w:kern w:val="36"/>
                <w:sz w:val="20"/>
                <w:szCs w:val="20"/>
                <w:lang w:eastAsia="en-GB"/>
              </w:rPr>
            </w:pPr>
          </w:p>
          <w:p w14:paraId="32CD1F24" w14:textId="63D0CA19" w:rsidR="00761AE5" w:rsidRPr="00B251A0" w:rsidRDefault="00761AE5" w:rsidP="004110DA">
            <w:pPr>
              <w:shd w:val="clear" w:color="auto" w:fill="FFFFFF"/>
              <w:spacing w:after="100" w:afterAutospacing="1" w:line="240" w:lineRule="auto"/>
              <w:outlineLvl w:val="0"/>
              <w:rPr>
                <w:rFonts w:cs="Arial"/>
                <w:i/>
                <w:iCs/>
                <w:color w:val="3B3B3B"/>
                <w:sz w:val="20"/>
                <w:szCs w:val="20"/>
              </w:rPr>
            </w:pPr>
          </w:p>
        </w:tc>
      </w:tr>
      <w:tr w:rsidR="00761AE5" w:rsidRPr="00B251A0" w14:paraId="6B5A3188" w14:textId="02307A47" w:rsidTr="00761AE5">
        <w:tc>
          <w:tcPr>
            <w:tcW w:w="3256" w:type="dxa"/>
          </w:tcPr>
          <w:p w14:paraId="6F38A68C" w14:textId="77777777" w:rsidR="00761AE5" w:rsidRPr="00B251A0" w:rsidRDefault="00761AE5" w:rsidP="00C04E64">
            <w:pPr>
              <w:rPr>
                <w:rFonts w:cs="Arial"/>
                <w:i/>
                <w:iCs/>
                <w:color w:val="3B3B3B"/>
                <w:sz w:val="20"/>
                <w:szCs w:val="20"/>
              </w:rPr>
            </w:pPr>
            <w:r w:rsidRPr="00B251A0">
              <w:rPr>
                <w:rFonts w:cs="Arial"/>
                <w:i/>
                <w:iCs/>
                <w:color w:val="3B3B3B"/>
                <w:sz w:val="20"/>
                <w:szCs w:val="20"/>
              </w:rPr>
              <w:lastRenderedPageBreak/>
              <w:t>S/DS: Development strategy</w:t>
            </w:r>
          </w:p>
        </w:tc>
        <w:tc>
          <w:tcPr>
            <w:tcW w:w="5760" w:type="dxa"/>
          </w:tcPr>
          <w:p w14:paraId="28FF2571" w14:textId="25052719" w:rsidR="00761AE5" w:rsidRPr="00B251A0" w:rsidRDefault="00C04E64" w:rsidP="00C04E64">
            <w:pPr>
              <w:spacing w:line="240" w:lineRule="auto"/>
              <w:rPr>
                <w:rFonts w:cs="Arial"/>
                <w:i/>
                <w:iCs/>
                <w:color w:val="3B3B3B"/>
                <w:sz w:val="20"/>
                <w:szCs w:val="20"/>
              </w:rPr>
            </w:pPr>
            <w:r w:rsidRPr="00B251A0">
              <w:rPr>
                <w:rFonts w:cs="Arial"/>
                <w:i/>
                <w:iCs/>
                <w:color w:val="3B3B3B"/>
                <w:sz w:val="20"/>
                <w:szCs w:val="20"/>
              </w:rPr>
              <w:t>“The proposed development strategy takes up opportunities to use brownfield land and responds to opportunities created by proposed major new infrastructure.”</w:t>
            </w:r>
          </w:p>
          <w:p w14:paraId="068CFD16" w14:textId="1C29DA4A" w:rsidR="00626AD0" w:rsidRDefault="00626AD0" w:rsidP="00C04E64">
            <w:pPr>
              <w:spacing w:line="240" w:lineRule="auto"/>
              <w:rPr>
                <w:rFonts w:cs="Arial"/>
                <w:i/>
                <w:iCs/>
                <w:color w:val="3B3B3B"/>
                <w:sz w:val="20"/>
                <w:szCs w:val="20"/>
              </w:rPr>
            </w:pPr>
          </w:p>
          <w:p w14:paraId="0CA81709" w14:textId="77777777" w:rsidR="00034F73" w:rsidRPr="00B251A0" w:rsidRDefault="00034F73" w:rsidP="00C04E64">
            <w:pPr>
              <w:spacing w:line="240" w:lineRule="auto"/>
              <w:rPr>
                <w:rFonts w:cs="Arial"/>
                <w:i/>
                <w:iCs/>
                <w:color w:val="3B3B3B"/>
                <w:sz w:val="20"/>
                <w:szCs w:val="20"/>
              </w:rPr>
            </w:pPr>
          </w:p>
          <w:p w14:paraId="3CFB7F4F" w14:textId="08CD09C7" w:rsidR="00C04E64" w:rsidRPr="00B251A0" w:rsidRDefault="00357F50" w:rsidP="008326AE">
            <w:pPr>
              <w:pStyle w:val="ListParagraph"/>
              <w:numPr>
                <w:ilvl w:val="0"/>
                <w:numId w:val="23"/>
              </w:numPr>
              <w:spacing w:line="240" w:lineRule="auto"/>
              <w:rPr>
                <w:rFonts w:cs="Arial"/>
                <w:color w:val="4472C4" w:themeColor="accent1"/>
                <w:sz w:val="20"/>
                <w:szCs w:val="20"/>
              </w:rPr>
            </w:pPr>
            <w:r w:rsidRPr="00B251A0">
              <w:rPr>
                <w:rFonts w:cs="Arial"/>
                <w:color w:val="4472C4" w:themeColor="accent1"/>
                <w:sz w:val="20"/>
                <w:szCs w:val="20"/>
              </w:rPr>
              <w:t xml:space="preserve">The proposed development strategy does not respond </w:t>
            </w:r>
            <w:r w:rsidR="007313BC" w:rsidRPr="00B251A0">
              <w:rPr>
                <w:rFonts w:cs="Arial"/>
                <w:color w:val="4472C4" w:themeColor="accent1"/>
                <w:sz w:val="20"/>
                <w:szCs w:val="20"/>
              </w:rPr>
              <w:t>sufficiently</w:t>
            </w:r>
            <w:r w:rsidR="007C13DB" w:rsidRPr="00B251A0">
              <w:rPr>
                <w:rFonts w:cs="Arial"/>
                <w:color w:val="4472C4" w:themeColor="accent1"/>
                <w:sz w:val="20"/>
                <w:szCs w:val="20"/>
              </w:rPr>
              <w:t xml:space="preserve"> and most effectively</w:t>
            </w:r>
            <w:r w:rsidR="007313BC" w:rsidRPr="00B251A0">
              <w:rPr>
                <w:rFonts w:cs="Arial"/>
                <w:color w:val="4472C4" w:themeColor="accent1"/>
                <w:sz w:val="20"/>
                <w:szCs w:val="20"/>
              </w:rPr>
              <w:t xml:space="preserve"> </w:t>
            </w:r>
            <w:r w:rsidRPr="00B251A0">
              <w:rPr>
                <w:rFonts w:cs="Arial"/>
                <w:color w:val="4472C4" w:themeColor="accent1"/>
                <w:sz w:val="20"/>
                <w:szCs w:val="20"/>
              </w:rPr>
              <w:t xml:space="preserve">to the opportunity </w:t>
            </w:r>
            <w:r w:rsidR="007313BC" w:rsidRPr="00B251A0">
              <w:rPr>
                <w:rFonts w:cs="Arial"/>
                <w:color w:val="4472C4" w:themeColor="accent1"/>
                <w:sz w:val="20"/>
                <w:szCs w:val="20"/>
              </w:rPr>
              <w:t>created by the A428/E-W Rail/OxCam Arc</w:t>
            </w:r>
            <w:r w:rsidR="007C13DB" w:rsidRPr="00B251A0">
              <w:rPr>
                <w:rFonts w:cs="Arial"/>
                <w:color w:val="4472C4" w:themeColor="accent1"/>
                <w:sz w:val="20"/>
                <w:szCs w:val="20"/>
              </w:rPr>
              <w:t xml:space="preserve"> corridor</w:t>
            </w:r>
            <w:r w:rsidR="007313BC" w:rsidRPr="00B251A0">
              <w:rPr>
                <w:rFonts w:cs="Arial"/>
                <w:color w:val="4472C4" w:themeColor="accent1"/>
                <w:sz w:val="20"/>
                <w:szCs w:val="20"/>
              </w:rPr>
              <w:t>.</w:t>
            </w:r>
          </w:p>
          <w:p w14:paraId="402023B9" w14:textId="04821716" w:rsidR="007313BC" w:rsidRPr="00B251A0" w:rsidRDefault="007313BC" w:rsidP="008326AE">
            <w:pPr>
              <w:pStyle w:val="ListParagraph"/>
              <w:numPr>
                <w:ilvl w:val="0"/>
                <w:numId w:val="23"/>
              </w:numPr>
              <w:spacing w:line="240" w:lineRule="auto"/>
              <w:rPr>
                <w:rFonts w:cs="Arial"/>
                <w:color w:val="4472C4" w:themeColor="accent1"/>
                <w:sz w:val="20"/>
                <w:szCs w:val="20"/>
              </w:rPr>
            </w:pPr>
            <w:r w:rsidRPr="00B251A0">
              <w:rPr>
                <w:rFonts w:cs="Arial"/>
                <w:color w:val="4472C4" w:themeColor="accent1"/>
                <w:sz w:val="20"/>
                <w:szCs w:val="20"/>
              </w:rPr>
              <w:t>The strategy only makes one allocation within the</w:t>
            </w:r>
            <w:r w:rsidR="007C13DB" w:rsidRPr="00B251A0">
              <w:rPr>
                <w:rFonts w:cs="Arial"/>
                <w:color w:val="4472C4" w:themeColor="accent1"/>
                <w:sz w:val="20"/>
                <w:szCs w:val="20"/>
              </w:rPr>
              <w:t xml:space="preserve"> </w:t>
            </w:r>
            <w:r w:rsidR="007C13DB" w:rsidRPr="00B251A0">
              <w:rPr>
                <w:rFonts w:cs="Arial"/>
                <w:color w:val="4472C4" w:themeColor="accent1"/>
                <w:sz w:val="20"/>
                <w:szCs w:val="20"/>
              </w:rPr>
              <w:t>A428/E-W Rail/OxCam Arc</w:t>
            </w:r>
            <w:r w:rsidRPr="00B251A0">
              <w:rPr>
                <w:rFonts w:cs="Arial"/>
                <w:color w:val="4472C4" w:themeColor="accent1"/>
                <w:sz w:val="20"/>
                <w:szCs w:val="20"/>
              </w:rPr>
              <w:t xml:space="preserve"> corridor (at Cambourne).</w:t>
            </w:r>
          </w:p>
          <w:p w14:paraId="65F5379F" w14:textId="174C3741" w:rsidR="007313BC" w:rsidRPr="00B251A0" w:rsidRDefault="007313BC" w:rsidP="008326AE">
            <w:pPr>
              <w:pStyle w:val="ListParagraph"/>
              <w:numPr>
                <w:ilvl w:val="0"/>
                <w:numId w:val="23"/>
              </w:numPr>
              <w:spacing w:line="240" w:lineRule="auto"/>
              <w:rPr>
                <w:rFonts w:cs="Arial"/>
                <w:color w:val="4472C4" w:themeColor="accent1"/>
                <w:sz w:val="20"/>
                <w:szCs w:val="20"/>
              </w:rPr>
            </w:pPr>
            <w:r w:rsidRPr="00B251A0">
              <w:rPr>
                <w:rFonts w:cs="Arial"/>
                <w:color w:val="4472C4" w:themeColor="accent1"/>
                <w:sz w:val="20"/>
                <w:szCs w:val="20"/>
              </w:rPr>
              <w:t>This does not capitalise fully on the opportunity because:</w:t>
            </w:r>
          </w:p>
          <w:p w14:paraId="61F073CE" w14:textId="563F4805" w:rsidR="007313BC" w:rsidRPr="00B251A0" w:rsidRDefault="007313BC" w:rsidP="00B266C4">
            <w:pPr>
              <w:pStyle w:val="ListParagraph"/>
              <w:numPr>
                <w:ilvl w:val="1"/>
                <w:numId w:val="31"/>
              </w:numPr>
              <w:shd w:val="clear" w:color="auto" w:fill="FFFFFF"/>
              <w:spacing w:line="240" w:lineRule="auto"/>
              <w:rPr>
                <w:rFonts w:cs="Arial"/>
                <w:color w:val="4472C4" w:themeColor="accent1"/>
                <w:sz w:val="20"/>
                <w:szCs w:val="20"/>
              </w:rPr>
            </w:pPr>
            <w:r w:rsidRPr="00B251A0">
              <w:rPr>
                <w:rFonts w:cs="Arial"/>
                <w:color w:val="4472C4" w:themeColor="accent1"/>
                <w:sz w:val="20"/>
                <w:szCs w:val="20"/>
              </w:rPr>
              <w:t>Further growth could be delivered along the corridor in a sustainable manner; and</w:t>
            </w:r>
          </w:p>
          <w:p w14:paraId="18DAB107" w14:textId="5B91BC03" w:rsidR="007313BC" w:rsidRPr="00B251A0" w:rsidRDefault="007313BC" w:rsidP="00B266C4">
            <w:pPr>
              <w:pStyle w:val="ListParagraph"/>
              <w:numPr>
                <w:ilvl w:val="1"/>
                <w:numId w:val="31"/>
              </w:numPr>
              <w:shd w:val="clear" w:color="auto" w:fill="FFFFFF"/>
              <w:spacing w:line="240" w:lineRule="auto"/>
              <w:rPr>
                <w:rFonts w:cs="Arial"/>
                <w:color w:val="4472C4" w:themeColor="accent1"/>
                <w:sz w:val="20"/>
                <w:szCs w:val="20"/>
              </w:rPr>
            </w:pPr>
            <w:r w:rsidRPr="00B251A0">
              <w:rPr>
                <w:rFonts w:cs="Arial"/>
                <w:color w:val="4472C4" w:themeColor="accent1"/>
                <w:sz w:val="20"/>
                <w:szCs w:val="20"/>
              </w:rPr>
              <w:lastRenderedPageBreak/>
              <w:t>To be reliable, any growth delivered within the corridor should be delivered in more than just one location in order to provide:</w:t>
            </w:r>
          </w:p>
          <w:p w14:paraId="441E997D" w14:textId="25B9397D" w:rsidR="007313BC" w:rsidRPr="00B251A0" w:rsidRDefault="007313BC" w:rsidP="008326AE">
            <w:pPr>
              <w:pStyle w:val="ListParagraph"/>
              <w:numPr>
                <w:ilvl w:val="2"/>
                <w:numId w:val="23"/>
              </w:numPr>
              <w:spacing w:line="240" w:lineRule="auto"/>
              <w:rPr>
                <w:rFonts w:cs="Arial"/>
                <w:color w:val="4472C4" w:themeColor="accent1"/>
                <w:sz w:val="20"/>
                <w:szCs w:val="20"/>
              </w:rPr>
            </w:pPr>
            <w:r w:rsidRPr="00B251A0">
              <w:rPr>
                <w:rFonts w:cs="Arial"/>
                <w:color w:val="4472C4" w:themeColor="accent1"/>
                <w:sz w:val="20"/>
                <w:szCs w:val="20"/>
              </w:rPr>
              <w:t xml:space="preserve">Greater choice in terms of the </w:t>
            </w:r>
            <w:r w:rsidRPr="00B251A0">
              <w:rPr>
                <w:rFonts w:eastAsia="Times New Roman" w:cs="Arial"/>
                <w:color w:val="4472C4" w:themeColor="accent1"/>
                <w:kern w:val="36"/>
                <w:sz w:val="20"/>
                <w:szCs w:val="20"/>
                <w:lang w:eastAsia="en-GB"/>
              </w:rPr>
              <w:t xml:space="preserve">location, size, type and tenure of housing that the </w:t>
            </w:r>
            <w:r w:rsidR="007C13DB" w:rsidRPr="00B251A0">
              <w:rPr>
                <w:rFonts w:eastAsia="Times New Roman" w:cs="Arial"/>
                <w:color w:val="4472C4" w:themeColor="accent1"/>
                <w:kern w:val="36"/>
                <w:sz w:val="20"/>
                <w:szCs w:val="20"/>
                <w:lang w:eastAsia="en-GB"/>
              </w:rPr>
              <w:t>emerging local plan</w:t>
            </w:r>
            <w:r w:rsidRPr="00B251A0">
              <w:rPr>
                <w:rFonts w:eastAsia="Times New Roman" w:cs="Arial"/>
                <w:color w:val="4472C4" w:themeColor="accent1"/>
                <w:kern w:val="36"/>
                <w:sz w:val="20"/>
                <w:szCs w:val="20"/>
                <w:lang w:eastAsia="en-GB"/>
              </w:rPr>
              <w:t xml:space="preserve"> can offer.</w:t>
            </w:r>
          </w:p>
          <w:p w14:paraId="0387C826" w14:textId="62659F8E" w:rsidR="007313BC" w:rsidRPr="00B251A0" w:rsidRDefault="007313BC" w:rsidP="008326AE">
            <w:pPr>
              <w:pStyle w:val="ListParagraph"/>
              <w:numPr>
                <w:ilvl w:val="2"/>
                <w:numId w:val="23"/>
              </w:numPr>
              <w:spacing w:line="240" w:lineRule="auto"/>
              <w:rPr>
                <w:rFonts w:cs="Arial"/>
                <w:color w:val="4472C4" w:themeColor="accent1"/>
                <w:sz w:val="20"/>
                <w:szCs w:val="20"/>
              </w:rPr>
            </w:pPr>
            <w:r w:rsidRPr="00B251A0">
              <w:rPr>
                <w:rFonts w:cs="Arial"/>
                <w:color w:val="4472C4" w:themeColor="accent1"/>
                <w:sz w:val="20"/>
                <w:szCs w:val="20"/>
              </w:rPr>
              <w:t xml:space="preserve">Greater flexibility and resilience in this arm of the </w:t>
            </w:r>
            <w:r w:rsidR="007C13DB" w:rsidRPr="00B251A0">
              <w:rPr>
                <w:rFonts w:cs="Arial"/>
                <w:color w:val="4472C4" w:themeColor="accent1"/>
                <w:sz w:val="20"/>
                <w:szCs w:val="20"/>
              </w:rPr>
              <w:t xml:space="preserve">emerging local plan’s </w:t>
            </w:r>
            <w:r w:rsidRPr="00B251A0">
              <w:rPr>
                <w:rFonts w:cs="Arial"/>
                <w:color w:val="4472C4" w:themeColor="accent1"/>
                <w:sz w:val="20"/>
                <w:szCs w:val="20"/>
              </w:rPr>
              <w:t>housing/development strategy.</w:t>
            </w:r>
          </w:p>
          <w:p w14:paraId="696B09B8" w14:textId="38909195" w:rsidR="00C04E64" w:rsidRDefault="00C04E64" w:rsidP="00C04E64">
            <w:pPr>
              <w:spacing w:line="240" w:lineRule="auto"/>
              <w:rPr>
                <w:rFonts w:cs="Arial"/>
                <w:i/>
                <w:iCs/>
                <w:color w:val="3B3B3B"/>
                <w:sz w:val="20"/>
                <w:szCs w:val="20"/>
              </w:rPr>
            </w:pPr>
          </w:p>
          <w:p w14:paraId="1D2DD92C" w14:textId="77777777" w:rsidR="00034F73" w:rsidRPr="00B251A0" w:rsidRDefault="00034F73" w:rsidP="00C04E64">
            <w:pPr>
              <w:spacing w:line="240" w:lineRule="auto"/>
              <w:rPr>
                <w:rFonts w:cs="Arial"/>
                <w:i/>
                <w:iCs/>
                <w:color w:val="3B3B3B"/>
                <w:sz w:val="20"/>
                <w:szCs w:val="20"/>
              </w:rPr>
            </w:pPr>
          </w:p>
          <w:p w14:paraId="7BCB762B" w14:textId="61843D15" w:rsidR="00C04E64" w:rsidRPr="00B251A0" w:rsidRDefault="00C04E64" w:rsidP="00C04E64">
            <w:pPr>
              <w:pStyle w:val="NormalWeb"/>
              <w:shd w:val="clear" w:color="auto" w:fill="FFFFFF"/>
              <w:spacing w:before="0" w:beforeAutospacing="0" w:after="0" w:afterAutospacing="0"/>
              <w:rPr>
                <w:rFonts w:ascii="Arial" w:eastAsiaTheme="minorHAnsi" w:hAnsi="Arial" w:cs="Arial"/>
                <w:i/>
                <w:iCs/>
                <w:color w:val="3B3B3B"/>
                <w:sz w:val="20"/>
                <w:szCs w:val="20"/>
                <w:lang w:eastAsia="en-US"/>
              </w:rPr>
            </w:pPr>
            <w:r w:rsidRPr="00B251A0">
              <w:rPr>
                <w:rFonts w:ascii="Arial" w:eastAsiaTheme="minorHAnsi" w:hAnsi="Arial" w:cs="Arial"/>
                <w:i/>
                <w:iCs/>
                <w:color w:val="3B3B3B"/>
                <w:sz w:val="20"/>
                <w:szCs w:val="20"/>
                <w:lang w:eastAsia="en-US"/>
              </w:rPr>
              <w:t>“For our new settlements, we propose:</w:t>
            </w:r>
          </w:p>
          <w:p w14:paraId="46D783B6" w14:textId="01CC3A01" w:rsidR="00C04E64" w:rsidRPr="00B251A0" w:rsidRDefault="00C04E64" w:rsidP="008326AE">
            <w:pPr>
              <w:numPr>
                <w:ilvl w:val="0"/>
                <w:numId w:val="23"/>
              </w:numPr>
              <w:shd w:val="clear" w:color="auto" w:fill="FFFFFF"/>
              <w:spacing w:line="240" w:lineRule="auto"/>
              <w:rPr>
                <w:rFonts w:cs="Arial"/>
                <w:i/>
                <w:iCs/>
                <w:color w:val="3B3B3B"/>
                <w:sz w:val="20"/>
                <w:szCs w:val="20"/>
              </w:rPr>
            </w:pPr>
            <w:r w:rsidRPr="00B251A0">
              <w:rPr>
                <w:rFonts w:cs="Arial"/>
                <w:i/>
                <w:iCs/>
                <w:color w:val="3B3B3B"/>
                <w:sz w:val="20"/>
                <w:szCs w:val="20"/>
              </w:rPr>
              <w:t>Evolving and expanding Cambourne into a vibrant town alongside the development of the new station, which will make it one of the best connected and most accessible places in the area; and …”</w:t>
            </w:r>
          </w:p>
          <w:p w14:paraId="2CAB70CC" w14:textId="02F130E0" w:rsidR="00C04E64" w:rsidRDefault="00C04E64" w:rsidP="00C04E64">
            <w:pPr>
              <w:spacing w:line="240" w:lineRule="auto"/>
              <w:rPr>
                <w:rFonts w:cs="Arial"/>
                <w:i/>
                <w:iCs/>
                <w:color w:val="3B3B3B"/>
                <w:sz w:val="20"/>
                <w:szCs w:val="20"/>
              </w:rPr>
            </w:pPr>
          </w:p>
          <w:p w14:paraId="79ECA437" w14:textId="77777777" w:rsidR="00034F73" w:rsidRPr="00B251A0" w:rsidRDefault="00034F73" w:rsidP="00C04E64">
            <w:pPr>
              <w:spacing w:line="240" w:lineRule="auto"/>
              <w:rPr>
                <w:rFonts w:cs="Arial"/>
                <w:i/>
                <w:iCs/>
                <w:color w:val="3B3B3B"/>
                <w:sz w:val="20"/>
                <w:szCs w:val="20"/>
              </w:rPr>
            </w:pPr>
          </w:p>
          <w:p w14:paraId="3EA532EE" w14:textId="38295511" w:rsidR="007313BC" w:rsidRPr="00B251A0" w:rsidRDefault="007313BC" w:rsidP="008326AE">
            <w:pPr>
              <w:pStyle w:val="ListParagraph"/>
              <w:numPr>
                <w:ilvl w:val="0"/>
                <w:numId w:val="23"/>
              </w:numPr>
              <w:spacing w:line="240" w:lineRule="auto"/>
              <w:rPr>
                <w:rFonts w:cs="Arial"/>
                <w:color w:val="4472C4" w:themeColor="accent1"/>
                <w:sz w:val="20"/>
                <w:szCs w:val="20"/>
              </w:rPr>
            </w:pPr>
            <w:r w:rsidRPr="00B251A0">
              <w:rPr>
                <w:rFonts w:cs="Arial"/>
                <w:color w:val="4472C4" w:themeColor="accent1"/>
                <w:sz w:val="20"/>
                <w:szCs w:val="20"/>
              </w:rPr>
              <w:t>Like Cambourne, Papworth Everard will be one of the best connected and most accessible places in the area.</w:t>
            </w:r>
          </w:p>
          <w:p w14:paraId="24B13AA7" w14:textId="7F1F7554" w:rsidR="007313BC" w:rsidRPr="00B251A0" w:rsidRDefault="007313BC" w:rsidP="008326AE">
            <w:pPr>
              <w:pStyle w:val="ListParagraph"/>
              <w:numPr>
                <w:ilvl w:val="0"/>
                <w:numId w:val="23"/>
              </w:numPr>
              <w:spacing w:line="240" w:lineRule="auto"/>
              <w:rPr>
                <w:rFonts w:cs="Arial"/>
                <w:color w:val="4472C4" w:themeColor="accent1"/>
                <w:sz w:val="20"/>
                <w:szCs w:val="20"/>
              </w:rPr>
            </w:pPr>
            <w:r w:rsidRPr="00B251A0">
              <w:rPr>
                <w:rFonts w:cs="Arial"/>
                <w:color w:val="4472C4" w:themeColor="accent1"/>
                <w:sz w:val="20"/>
                <w:szCs w:val="20"/>
              </w:rPr>
              <w:t>It too should be allowed to evolve and expand in a proportion</w:t>
            </w:r>
            <w:r w:rsidR="005E2341" w:rsidRPr="00B251A0">
              <w:rPr>
                <w:rFonts w:cs="Arial"/>
                <w:color w:val="4472C4" w:themeColor="accent1"/>
                <w:sz w:val="20"/>
                <w:szCs w:val="20"/>
              </w:rPr>
              <w:t>ate</w:t>
            </w:r>
            <w:r w:rsidRPr="00B251A0">
              <w:rPr>
                <w:rFonts w:cs="Arial"/>
                <w:color w:val="4472C4" w:themeColor="accent1"/>
                <w:sz w:val="20"/>
                <w:szCs w:val="20"/>
              </w:rPr>
              <w:t xml:space="preserve"> and sustainable manner.</w:t>
            </w:r>
          </w:p>
          <w:p w14:paraId="046FE83F" w14:textId="3F190D51" w:rsidR="007313BC" w:rsidRPr="00B251A0" w:rsidRDefault="007313BC" w:rsidP="008326AE">
            <w:pPr>
              <w:pStyle w:val="ListParagraph"/>
              <w:numPr>
                <w:ilvl w:val="0"/>
                <w:numId w:val="23"/>
              </w:numPr>
              <w:spacing w:line="240" w:lineRule="auto"/>
              <w:rPr>
                <w:rFonts w:cs="Arial"/>
                <w:color w:val="4472C4" w:themeColor="accent1"/>
                <w:sz w:val="20"/>
                <w:szCs w:val="20"/>
              </w:rPr>
            </w:pPr>
            <w:r w:rsidRPr="00B251A0">
              <w:rPr>
                <w:rFonts w:eastAsia="Times New Roman" w:cs="Arial"/>
                <w:color w:val="4472C4" w:themeColor="accent1"/>
                <w:kern w:val="36"/>
                <w:sz w:val="20"/>
                <w:szCs w:val="20"/>
                <w:lang w:eastAsia="en-GB"/>
              </w:rPr>
              <w:t xml:space="preserve">Land at Crow's Nest Farm, Papworth Everard (Greater Cambridge HELAA (2021) Site Reference: 48096) could accommodate such, as </w:t>
            </w:r>
            <w:r w:rsidR="005E2341" w:rsidRPr="00B251A0">
              <w:rPr>
                <w:rFonts w:eastAsia="Times New Roman" w:cs="Arial"/>
                <w:color w:val="4472C4" w:themeColor="accent1"/>
                <w:kern w:val="36"/>
                <w:sz w:val="20"/>
                <w:szCs w:val="20"/>
                <w:lang w:eastAsia="en-GB"/>
              </w:rPr>
              <w:t>demonstrated</w:t>
            </w:r>
            <w:r w:rsidRPr="00B251A0">
              <w:rPr>
                <w:rFonts w:eastAsia="Times New Roman" w:cs="Arial"/>
                <w:color w:val="4472C4" w:themeColor="accent1"/>
                <w:kern w:val="36"/>
                <w:sz w:val="20"/>
                <w:szCs w:val="20"/>
                <w:lang w:eastAsia="en-GB"/>
              </w:rPr>
              <w:t xml:space="preserve"> in the updated vision document for the site (December 2021 – submitted th</w:t>
            </w:r>
            <w:r w:rsidR="005E2341" w:rsidRPr="00B251A0">
              <w:rPr>
                <w:rFonts w:eastAsia="Times New Roman" w:cs="Arial"/>
                <w:color w:val="4472C4" w:themeColor="accent1"/>
                <w:kern w:val="36"/>
                <w:sz w:val="20"/>
                <w:szCs w:val="20"/>
                <w:lang w:eastAsia="en-GB"/>
              </w:rPr>
              <w:t>r</w:t>
            </w:r>
            <w:r w:rsidRPr="00B251A0">
              <w:rPr>
                <w:rFonts w:eastAsia="Times New Roman" w:cs="Arial"/>
                <w:color w:val="4472C4" w:themeColor="accent1"/>
                <w:kern w:val="36"/>
                <w:sz w:val="20"/>
                <w:szCs w:val="20"/>
                <w:lang w:eastAsia="en-GB"/>
              </w:rPr>
              <w:t xml:space="preserve">ough the </w:t>
            </w:r>
            <w:r w:rsidR="002F0BC0" w:rsidRPr="00B251A0">
              <w:rPr>
                <w:rFonts w:eastAsia="Times New Roman" w:cs="Arial"/>
                <w:color w:val="4472C4" w:themeColor="accent1"/>
                <w:kern w:val="36"/>
                <w:sz w:val="20"/>
                <w:szCs w:val="20"/>
                <w:lang w:eastAsia="en-GB"/>
              </w:rPr>
              <w:t>‘Submit additional site information’ part of the ‘First Proposals’ consultation).</w:t>
            </w:r>
          </w:p>
          <w:p w14:paraId="2A3C9D18" w14:textId="0664BD95" w:rsidR="00C04E64" w:rsidRDefault="00C04E64" w:rsidP="00C04E64">
            <w:pPr>
              <w:spacing w:line="240" w:lineRule="auto"/>
              <w:rPr>
                <w:rFonts w:cs="Arial"/>
                <w:i/>
                <w:iCs/>
                <w:color w:val="3B3B3B"/>
                <w:sz w:val="20"/>
                <w:szCs w:val="20"/>
              </w:rPr>
            </w:pPr>
          </w:p>
          <w:p w14:paraId="61C9C163" w14:textId="77777777" w:rsidR="00034F73" w:rsidRPr="00B251A0" w:rsidRDefault="00034F73" w:rsidP="00C04E64">
            <w:pPr>
              <w:spacing w:line="240" w:lineRule="auto"/>
              <w:rPr>
                <w:rFonts w:cs="Arial"/>
                <w:i/>
                <w:iCs/>
                <w:color w:val="3B3B3B"/>
                <w:sz w:val="20"/>
                <w:szCs w:val="20"/>
              </w:rPr>
            </w:pPr>
          </w:p>
          <w:p w14:paraId="7535CC37" w14:textId="4332E8B0" w:rsidR="00C04E64" w:rsidRPr="00B251A0" w:rsidRDefault="00C04E64" w:rsidP="00C04E64">
            <w:pPr>
              <w:pStyle w:val="NormalWeb"/>
              <w:shd w:val="clear" w:color="auto" w:fill="FFFFFF"/>
              <w:spacing w:before="0" w:beforeAutospacing="0" w:after="0" w:afterAutospacing="0"/>
              <w:rPr>
                <w:rFonts w:ascii="Arial" w:eastAsiaTheme="minorHAnsi" w:hAnsi="Arial" w:cs="Arial"/>
                <w:i/>
                <w:iCs/>
                <w:color w:val="3B3B3B"/>
                <w:sz w:val="20"/>
                <w:szCs w:val="20"/>
                <w:lang w:eastAsia="en-US"/>
              </w:rPr>
            </w:pPr>
            <w:r w:rsidRPr="00B251A0">
              <w:rPr>
                <w:rFonts w:ascii="Arial" w:eastAsiaTheme="minorHAnsi" w:hAnsi="Arial" w:cs="Arial"/>
                <w:i/>
                <w:iCs/>
                <w:color w:val="3B3B3B"/>
                <w:sz w:val="20"/>
                <w:szCs w:val="20"/>
                <w:lang w:eastAsia="en-US"/>
              </w:rPr>
              <w:t>“We propose some development in the rural area south of Cambridge, the Rural Southern Cluster, where homes and jobs can be located close to each other and served by good quality public transport, cycling and walking links, including:</w:t>
            </w:r>
          </w:p>
          <w:p w14:paraId="2BE842BB" w14:textId="77777777" w:rsidR="00C04E64" w:rsidRPr="00B251A0" w:rsidRDefault="00C04E64" w:rsidP="008326AE">
            <w:pPr>
              <w:pStyle w:val="NormalWeb"/>
              <w:numPr>
                <w:ilvl w:val="0"/>
                <w:numId w:val="23"/>
              </w:numPr>
              <w:shd w:val="clear" w:color="auto" w:fill="FFFFFF"/>
              <w:spacing w:before="0" w:beforeAutospacing="0" w:after="0" w:afterAutospacing="0"/>
              <w:rPr>
                <w:rFonts w:ascii="Arial" w:eastAsiaTheme="minorHAnsi" w:hAnsi="Arial" w:cs="Arial"/>
                <w:i/>
                <w:iCs/>
                <w:color w:val="3B3B3B"/>
                <w:sz w:val="20"/>
                <w:szCs w:val="20"/>
                <w:lang w:eastAsia="en-US"/>
              </w:rPr>
            </w:pPr>
            <w:r w:rsidRPr="00B251A0">
              <w:rPr>
                <w:rFonts w:ascii="Arial" w:eastAsiaTheme="minorHAnsi" w:hAnsi="Arial" w:cs="Arial"/>
                <w:i/>
                <w:iCs/>
                <w:color w:val="3B3B3B"/>
                <w:sz w:val="20"/>
                <w:szCs w:val="20"/>
                <w:lang w:eastAsia="en-US"/>
              </w:rPr>
              <w:t>Employment and tied housing at the Wellcome Genome Campus expansion – confirming the existing planning permission;</w:t>
            </w:r>
          </w:p>
          <w:p w14:paraId="0854D761" w14:textId="77777777" w:rsidR="00C04E64" w:rsidRPr="00B251A0" w:rsidRDefault="00C04E64" w:rsidP="008326AE">
            <w:pPr>
              <w:pStyle w:val="NormalWeb"/>
              <w:numPr>
                <w:ilvl w:val="0"/>
                <w:numId w:val="23"/>
              </w:numPr>
              <w:shd w:val="clear" w:color="auto" w:fill="FFFFFF"/>
              <w:spacing w:before="0" w:beforeAutospacing="0" w:after="0" w:afterAutospacing="0"/>
              <w:rPr>
                <w:rFonts w:ascii="Arial" w:eastAsiaTheme="minorHAnsi" w:hAnsi="Arial" w:cs="Arial"/>
                <w:i/>
                <w:iCs/>
                <w:color w:val="3B3B3B"/>
                <w:sz w:val="20"/>
                <w:szCs w:val="20"/>
                <w:lang w:eastAsia="en-US"/>
              </w:rPr>
            </w:pPr>
            <w:r w:rsidRPr="00B251A0">
              <w:rPr>
                <w:rFonts w:ascii="Arial" w:eastAsiaTheme="minorHAnsi" w:hAnsi="Arial" w:cs="Arial"/>
                <w:i/>
                <w:iCs/>
                <w:color w:val="3B3B3B"/>
                <w:sz w:val="20"/>
                <w:szCs w:val="20"/>
                <w:lang w:eastAsia="en-US"/>
              </w:rPr>
              <w:t>Additional employment at Babraham Research Campus, through releasing the Campus and a modest area of additional land from the Green Belt;</w:t>
            </w:r>
          </w:p>
          <w:p w14:paraId="39D756BE" w14:textId="77A92D6A" w:rsidR="00C04E64" w:rsidRPr="00B251A0" w:rsidRDefault="00C04E64" w:rsidP="008326AE">
            <w:pPr>
              <w:pStyle w:val="NormalWeb"/>
              <w:numPr>
                <w:ilvl w:val="0"/>
                <w:numId w:val="23"/>
              </w:numPr>
              <w:shd w:val="clear" w:color="auto" w:fill="FFFFFF"/>
              <w:spacing w:before="0" w:beforeAutospacing="0" w:after="0" w:afterAutospacing="0"/>
              <w:rPr>
                <w:rFonts w:ascii="Arial" w:eastAsiaTheme="minorHAnsi" w:hAnsi="Arial" w:cs="Arial"/>
                <w:i/>
                <w:iCs/>
                <w:color w:val="3B3B3B"/>
                <w:sz w:val="20"/>
                <w:szCs w:val="20"/>
                <w:lang w:eastAsia="en-US"/>
              </w:rPr>
            </w:pPr>
            <w:r w:rsidRPr="00B251A0">
              <w:rPr>
                <w:rFonts w:ascii="Arial" w:eastAsiaTheme="minorHAnsi" w:hAnsi="Arial" w:cs="Arial"/>
                <w:i/>
                <w:iCs/>
                <w:color w:val="3B3B3B"/>
                <w:sz w:val="20"/>
                <w:szCs w:val="20"/>
                <w:lang w:eastAsia="en-US"/>
              </w:rPr>
              <w:t>New smaller sites for housing and employment in villages that have very good public transport access and are close to jobs, some of which are through release of land from the Green Belt; and …”</w:t>
            </w:r>
          </w:p>
          <w:p w14:paraId="22C3127E" w14:textId="140CDF04" w:rsidR="00C04E64" w:rsidRDefault="00C04E64" w:rsidP="00C04E64">
            <w:pPr>
              <w:pStyle w:val="NormalWeb"/>
              <w:shd w:val="clear" w:color="auto" w:fill="FFFFFF"/>
              <w:spacing w:before="0" w:beforeAutospacing="0" w:after="0" w:afterAutospacing="0"/>
              <w:rPr>
                <w:rFonts w:ascii="Arial" w:eastAsiaTheme="minorHAnsi" w:hAnsi="Arial" w:cs="Arial"/>
                <w:i/>
                <w:iCs/>
                <w:color w:val="3B3B3B"/>
                <w:sz w:val="20"/>
                <w:szCs w:val="20"/>
                <w:lang w:eastAsia="en-US"/>
              </w:rPr>
            </w:pPr>
          </w:p>
          <w:p w14:paraId="4CD44D15" w14:textId="77777777" w:rsidR="00034F73" w:rsidRPr="00B251A0" w:rsidRDefault="00034F73" w:rsidP="00C04E64">
            <w:pPr>
              <w:pStyle w:val="NormalWeb"/>
              <w:shd w:val="clear" w:color="auto" w:fill="FFFFFF"/>
              <w:spacing w:before="0" w:beforeAutospacing="0" w:after="0" w:afterAutospacing="0"/>
              <w:rPr>
                <w:rFonts w:ascii="Arial" w:eastAsiaTheme="minorHAnsi" w:hAnsi="Arial" w:cs="Arial"/>
                <w:i/>
                <w:iCs/>
                <w:color w:val="3B3B3B"/>
                <w:sz w:val="20"/>
                <w:szCs w:val="20"/>
                <w:lang w:eastAsia="en-US"/>
              </w:rPr>
            </w:pPr>
          </w:p>
          <w:p w14:paraId="4F8A90D3" w14:textId="2EA2A579" w:rsidR="005E2341" w:rsidRPr="00B251A0" w:rsidRDefault="002F0BC0" w:rsidP="005E2341">
            <w:pPr>
              <w:pStyle w:val="ListParagraph"/>
              <w:numPr>
                <w:ilvl w:val="0"/>
                <w:numId w:val="23"/>
              </w:numPr>
              <w:shd w:val="clear" w:color="auto" w:fill="FFFFFF"/>
              <w:spacing w:line="240" w:lineRule="auto"/>
              <w:rPr>
                <w:rFonts w:cs="Arial"/>
                <w:color w:val="4472C4" w:themeColor="accent1"/>
                <w:sz w:val="20"/>
                <w:szCs w:val="20"/>
              </w:rPr>
            </w:pPr>
            <w:r w:rsidRPr="00B251A0">
              <w:rPr>
                <w:rFonts w:cs="Arial"/>
                <w:color w:val="4472C4" w:themeColor="accent1"/>
                <w:sz w:val="20"/>
                <w:szCs w:val="20"/>
              </w:rPr>
              <w:t>It is not clear why the cluster approach has</w:t>
            </w:r>
            <w:r w:rsidR="005E2341" w:rsidRPr="00B251A0">
              <w:rPr>
                <w:rFonts w:cs="Arial"/>
                <w:color w:val="4472C4" w:themeColor="accent1"/>
                <w:sz w:val="20"/>
                <w:szCs w:val="20"/>
              </w:rPr>
              <w:t xml:space="preserve"> been adopted only in the southern rural area of Greater Cambridge and</w:t>
            </w:r>
            <w:r w:rsidRPr="00B251A0">
              <w:rPr>
                <w:rFonts w:cs="Arial"/>
                <w:color w:val="4472C4" w:themeColor="accent1"/>
                <w:sz w:val="20"/>
                <w:szCs w:val="20"/>
              </w:rPr>
              <w:t xml:space="preserve"> not other</w:t>
            </w:r>
            <w:r w:rsidR="005E2341" w:rsidRPr="00B251A0">
              <w:rPr>
                <w:rFonts w:cs="Arial"/>
                <w:color w:val="4472C4" w:themeColor="accent1"/>
                <w:sz w:val="20"/>
                <w:szCs w:val="20"/>
              </w:rPr>
              <w:t xml:space="preserve"> rural</w:t>
            </w:r>
            <w:r w:rsidRPr="00B251A0">
              <w:rPr>
                <w:rFonts w:cs="Arial"/>
                <w:color w:val="4472C4" w:themeColor="accent1"/>
                <w:sz w:val="20"/>
                <w:szCs w:val="20"/>
              </w:rPr>
              <w:t xml:space="preserve"> parts of </w:t>
            </w:r>
            <w:r w:rsidR="005E2341" w:rsidRPr="00B251A0">
              <w:rPr>
                <w:rFonts w:cs="Arial"/>
                <w:color w:val="4472C4" w:themeColor="accent1"/>
                <w:sz w:val="20"/>
                <w:szCs w:val="20"/>
              </w:rPr>
              <w:t>plan area</w:t>
            </w:r>
            <w:r w:rsidRPr="00B251A0">
              <w:rPr>
                <w:rFonts w:cs="Arial"/>
                <w:color w:val="4472C4" w:themeColor="accent1"/>
                <w:sz w:val="20"/>
                <w:szCs w:val="20"/>
              </w:rPr>
              <w:t>.</w:t>
            </w:r>
          </w:p>
          <w:p w14:paraId="5CC1098B" w14:textId="298B5E5C" w:rsidR="002F0BC0" w:rsidRPr="00B251A0" w:rsidRDefault="005E2341" w:rsidP="008326AE">
            <w:pPr>
              <w:pStyle w:val="ListParagraph"/>
              <w:numPr>
                <w:ilvl w:val="0"/>
                <w:numId w:val="23"/>
              </w:numPr>
              <w:shd w:val="clear" w:color="auto" w:fill="FFFFFF"/>
              <w:spacing w:line="240" w:lineRule="auto"/>
              <w:rPr>
                <w:rFonts w:cs="Arial"/>
                <w:color w:val="4472C4" w:themeColor="accent1"/>
                <w:sz w:val="20"/>
                <w:szCs w:val="20"/>
              </w:rPr>
            </w:pPr>
            <w:r w:rsidRPr="00B251A0">
              <w:rPr>
                <w:rFonts w:cs="Arial"/>
                <w:color w:val="4472C4" w:themeColor="accent1"/>
                <w:sz w:val="20"/>
                <w:szCs w:val="20"/>
              </w:rPr>
              <w:t xml:space="preserve">The rural southern area is not the only area which lends itself to such an approach. </w:t>
            </w:r>
            <w:r w:rsidR="002F0BC0" w:rsidRPr="00B251A0">
              <w:rPr>
                <w:rFonts w:cs="Arial"/>
                <w:color w:val="4472C4" w:themeColor="accent1"/>
                <w:sz w:val="20"/>
                <w:szCs w:val="20"/>
              </w:rPr>
              <w:t>An</w:t>
            </w:r>
            <w:r w:rsidRPr="00B251A0">
              <w:rPr>
                <w:rFonts w:cs="Arial"/>
                <w:color w:val="4472C4" w:themeColor="accent1"/>
                <w:sz w:val="20"/>
                <w:szCs w:val="20"/>
              </w:rPr>
              <w:t>other</w:t>
            </w:r>
            <w:r w:rsidR="002F0BC0" w:rsidRPr="00B251A0">
              <w:rPr>
                <w:rFonts w:cs="Arial"/>
                <w:color w:val="4472C4" w:themeColor="accent1"/>
                <w:sz w:val="20"/>
                <w:szCs w:val="20"/>
              </w:rPr>
              <w:t xml:space="preserve"> obvious location for </w:t>
            </w:r>
            <w:r w:rsidRPr="00B251A0">
              <w:rPr>
                <w:rFonts w:cs="Arial"/>
                <w:color w:val="4472C4" w:themeColor="accent1"/>
                <w:sz w:val="20"/>
                <w:szCs w:val="20"/>
              </w:rPr>
              <w:t>the adopting the cluster approach to allocating new development</w:t>
            </w:r>
            <w:r w:rsidR="002F0BC0" w:rsidRPr="00B251A0">
              <w:rPr>
                <w:rFonts w:cs="Arial"/>
                <w:color w:val="4472C4" w:themeColor="accent1"/>
                <w:sz w:val="20"/>
                <w:szCs w:val="20"/>
              </w:rPr>
              <w:t xml:space="preserve"> is the A428</w:t>
            </w:r>
            <w:r w:rsidRPr="00B251A0">
              <w:rPr>
                <w:rFonts w:cs="Arial"/>
                <w:color w:val="4472C4" w:themeColor="accent1"/>
                <w:sz w:val="20"/>
                <w:szCs w:val="20"/>
              </w:rPr>
              <w:t>/E-W Rail/OxCam Arc</w:t>
            </w:r>
            <w:r w:rsidR="002F0BC0" w:rsidRPr="00B251A0">
              <w:rPr>
                <w:rFonts w:cs="Arial"/>
                <w:color w:val="4472C4" w:themeColor="accent1"/>
                <w:sz w:val="20"/>
                <w:szCs w:val="20"/>
              </w:rPr>
              <w:t xml:space="preserve"> corridor. Significant employment exists in both Cambourne and Papworth Everard already and there is clear logic in allocating new employment and housing to support it.</w:t>
            </w:r>
          </w:p>
          <w:p w14:paraId="06ACA8C8" w14:textId="4B8875B0" w:rsidR="002F0BC0" w:rsidRPr="00B251A0" w:rsidRDefault="002F0BC0" w:rsidP="008326AE">
            <w:pPr>
              <w:pStyle w:val="ListParagraph"/>
              <w:numPr>
                <w:ilvl w:val="0"/>
                <w:numId w:val="23"/>
              </w:numPr>
              <w:shd w:val="clear" w:color="auto" w:fill="FFFFFF"/>
              <w:spacing w:line="240" w:lineRule="auto"/>
              <w:rPr>
                <w:rFonts w:cs="Arial"/>
                <w:color w:val="4472C4" w:themeColor="accent1"/>
                <w:sz w:val="20"/>
                <w:szCs w:val="20"/>
              </w:rPr>
            </w:pPr>
            <w:r w:rsidRPr="00B251A0">
              <w:rPr>
                <w:rFonts w:cs="Arial"/>
                <w:color w:val="4472C4" w:themeColor="accent1"/>
                <w:sz w:val="20"/>
                <w:szCs w:val="20"/>
              </w:rPr>
              <w:lastRenderedPageBreak/>
              <w:t>Both Cambourne and Papworth Everard ha</w:t>
            </w:r>
            <w:r w:rsidR="0036695C" w:rsidRPr="00B251A0">
              <w:rPr>
                <w:rFonts w:cs="Arial"/>
                <w:color w:val="4472C4" w:themeColor="accent1"/>
                <w:sz w:val="20"/>
                <w:szCs w:val="20"/>
              </w:rPr>
              <w:t>ve</w:t>
            </w:r>
            <w:r w:rsidRPr="00B251A0">
              <w:rPr>
                <w:rFonts w:cs="Arial"/>
                <w:color w:val="4472C4" w:themeColor="accent1"/>
                <w:sz w:val="20"/>
                <w:szCs w:val="20"/>
              </w:rPr>
              <w:t xml:space="preserve"> very good public transport links (one of the </w:t>
            </w:r>
            <w:r w:rsidR="005E2341" w:rsidRPr="00B251A0">
              <w:rPr>
                <w:rFonts w:cs="Arial"/>
                <w:color w:val="4472C4" w:themeColor="accent1"/>
                <w:sz w:val="20"/>
                <w:szCs w:val="20"/>
              </w:rPr>
              <w:t xml:space="preserve">key </w:t>
            </w:r>
            <w:r w:rsidRPr="00B251A0">
              <w:rPr>
                <w:rFonts w:cs="Arial"/>
                <w:color w:val="4472C4" w:themeColor="accent1"/>
                <w:sz w:val="20"/>
                <w:szCs w:val="20"/>
              </w:rPr>
              <w:t>criteria applied in the Rural Southern Cluster allocation approach).</w:t>
            </w:r>
          </w:p>
          <w:p w14:paraId="6F37790E" w14:textId="19ABFF29" w:rsidR="0036695C" w:rsidRPr="00B251A0" w:rsidRDefault="005E2341" w:rsidP="008326AE">
            <w:pPr>
              <w:pStyle w:val="ListParagraph"/>
              <w:numPr>
                <w:ilvl w:val="0"/>
                <w:numId w:val="23"/>
              </w:numPr>
              <w:shd w:val="clear" w:color="auto" w:fill="FFFFFF"/>
              <w:spacing w:line="240" w:lineRule="auto"/>
              <w:rPr>
                <w:rFonts w:cs="Arial"/>
                <w:color w:val="4472C4" w:themeColor="accent1"/>
                <w:sz w:val="20"/>
                <w:szCs w:val="20"/>
              </w:rPr>
            </w:pPr>
            <w:r w:rsidRPr="00B251A0">
              <w:rPr>
                <w:rFonts w:cs="Arial"/>
                <w:color w:val="4472C4" w:themeColor="accent1"/>
                <w:sz w:val="20"/>
                <w:szCs w:val="20"/>
              </w:rPr>
              <w:t>Accordingly, g</w:t>
            </w:r>
            <w:r w:rsidR="0036695C" w:rsidRPr="00B251A0">
              <w:rPr>
                <w:rFonts w:cs="Arial"/>
                <w:color w:val="4472C4" w:themeColor="accent1"/>
                <w:sz w:val="20"/>
                <w:szCs w:val="20"/>
              </w:rPr>
              <w:t>rowth should be allocated to Papworth Everard in the same manner a</w:t>
            </w:r>
            <w:r w:rsidRPr="00B251A0">
              <w:rPr>
                <w:rFonts w:cs="Arial"/>
                <w:color w:val="4472C4" w:themeColor="accent1"/>
                <w:sz w:val="20"/>
                <w:szCs w:val="20"/>
              </w:rPr>
              <w:t>s it</w:t>
            </w:r>
            <w:r w:rsidR="0036695C" w:rsidRPr="00B251A0">
              <w:rPr>
                <w:rFonts w:cs="Arial"/>
                <w:color w:val="4472C4" w:themeColor="accent1"/>
                <w:sz w:val="20"/>
                <w:szCs w:val="20"/>
              </w:rPr>
              <w:t xml:space="preserve"> is proposed to be allocated to villages in the Rural Southern Cluster</w:t>
            </w:r>
            <w:r w:rsidRPr="00B251A0">
              <w:rPr>
                <w:rFonts w:cs="Arial"/>
                <w:color w:val="4472C4" w:themeColor="accent1"/>
                <w:sz w:val="20"/>
                <w:szCs w:val="20"/>
              </w:rPr>
              <w:t xml:space="preserve"> in order to</w:t>
            </w:r>
            <w:r w:rsidR="0036695C" w:rsidRPr="00B251A0">
              <w:rPr>
                <w:rFonts w:cs="Arial"/>
                <w:color w:val="4472C4" w:themeColor="accent1"/>
                <w:sz w:val="20"/>
                <w:szCs w:val="20"/>
              </w:rPr>
              <w:t>:</w:t>
            </w:r>
          </w:p>
          <w:p w14:paraId="73E16A5C" w14:textId="47F41457" w:rsidR="0036695C" w:rsidRPr="00B251A0" w:rsidRDefault="0036695C" w:rsidP="005E2341">
            <w:pPr>
              <w:pStyle w:val="ListParagraph"/>
              <w:numPr>
                <w:ilvl w:val="1"/>
                <w:numId w:val="31"/>
              </w:numPr>
              <w:shd w:val="clear" w:color="auto" w:fill="FFFFFF"/>
              <w:spacing w:line="240" w:lineRule="auto"/>
              <w:rPr>
                <w:rFonts w:cs="Arial"/>
                <w:color w:val="4472C4" w:themeColor="accent1"/>
                <w:sz w:val="20"/>
                <w:szCs w:val="20"/>
              </w:rPr>
            </w:pPr>
            <w:r w:rsidRPr="00B251A0">
              <w:rPr>
                <w:rFonts w:cs="Arial"/>
                <w:color w:val="4472C4" w:themeColor="accent1"/>
                <w:sz w:val="20"/>
                <w:szCs w:val="20"/>
              </w:rPr>
              <w:t>support and grow the existing employment provision in the area;</w:t>
            </w:r>
          </w:p>
          <w:p w14:paraId="5BC31B58" w14:textId="74225D5D" w:rsidR="0036695C" w:rsidRPr="00B251A0" w:rsidRDefault="0036695C" w:rsidP="005E2341">
            <w:pPr>
              <w:pStyle w:val="ListParagraph"/>
              <w:numPr>
                <w:ilvl w:val="1"/>
                <w:numId w:val="31"/>
              </w:numPr>
              <w:shd w:val="clear" w:color="auto" w:fill="FFFFFF"/>
              <w:spacing w:line="240" w:lineRule="auto"/>
              <w:rPr>
                <w:rFonts w:cs="Arial"/>
                <w:color w:val="4472C4" w:themeColor="accent1"/>
                <w:sz w:val="20"/>
                <w:szCs w:val="20"/>
              </w:rPr>
            </w:pPr>
            <w:r w:rsidRPr="00B251A0">
              <w:rPr>
                <w:rFonts w:cs="Arial"/>
                <w:color w:val="4472C4" w:themeColor="accent1"/>
                <w:sz w:val="20"/>
                <w:szCs w:val="20"/>
              </w:rPr>
              <w:t>help meet the plan’s housing requirement (which should be based on the ‘Maximum continue existing patterns’ scenario - 78,000 jobs and 53,500 homes)</w:t>
            </w:r>
            <w:r w:rsidR="006F25D9" w:rsidRPr="00B251A0">
              <w:rPr>
                <w:rFonts w:cs="Arial"/>
                <w:color w:val="4472C4" w:themeColor="accent1"/>
                <w:sz w:val="20"/>
                <w:szCs w:val="20"/>
              </w:rPr>
              <w:t>;</w:t>
            </w:r>
          </w:p>
          <w:p w14:paraId="5D7DD0B5" w14:textId="0E03F329" w:rsidR="0036695C" w:rsidRPr="00B251A0" w:rsidRDefault="0036695C" w:rsidP="005E2341">
            <w:pPr>
              <w:pStyle w:val="ListParagraph"/>
              <w:numPr>
                <w:ilvl w:val="1"/>
                <w:numId w:val="31"/>
              </w:numPr>
              <w:spacing w:line="240" w:lineRule="auto"/>
              <w:rPr>
                <w:rFonts w:cs="Arial"/>
                <w:color w:val="4472C4" w:themeColor="accent1"/>
                <w:sz w:val="20"/>
                <w:szCs w:val="20"/>
              </w:rPr>
            </w:pPr>
            <w:r w:rsidRPr="00B251A0">
              <w:rPr>
                <w:rFonts w:cs="Arial"/>
                <w:color w:val="4472C4" w:themeColor="accent1"/>
                <w:sz w:val="20"/>
                <w:szCs w:val="20"/>
              </w:rPr>
              <w:t xml:space="preserve">provide greater choice in terms of the </w:t>
            </w:r>
            <w:r w:rsidRPr="00B251A0">
              <w:rPr>
                <w:rFonts w:eastAsia="Times New Roman" w:cs="Arial"/>
                <w:color w:val="4472C4" w:themeColor="accent1"/>
                <w:kern w:val="36"/>
                <w:sz w:val="20"/>
                <w:szCs w:val="20"/>
                <w:lang w:eastAsia="en-GB"/>
              </w:rPr>
              <w:t>location, size, type and tenure of housing that the plan can offer; and</w:t>
            </w:r>
          </w:p>
          <w:p w14:paraId="02FD0F33" w14:textId="352AC5D7" w:rsidR="00C04E64" w:rsidRPr="00B251A0" w:rsidRDefault="0036695C" w:rsidP="005E2341">
            <w:pPr>
              <w:pStyle w:val="ListParagraph"/>
              <w:numPr>
                <w:ilvl w:val="1"/>
                <w:numId w:val="31"/>
              </w:numPr>
              <w:spacing w:line="240" w:lineRule="auto"/>
              <w:rPr>
                <w:rFonts w:cs="Arial"/>
                <w:color w:val="4472C4" w:themeColor="accent1"/>
                <w:sz w:val="20"/>
                <w:szCs w:val="20"/>
              </w:rPr>
            </w:pPr>
            <w:r w:rsidRPr="00B251A0">
              <w:rPr>
                <w:rFonts w:cs="Arial"/>
                <w:color w:val="4472C4" w:themeColor="accent1"/>
                <w:sz w:val="20"/>
                <w:szCs w:val="20"/>
              </w:rPr>
              <w:t>provide greater flexibility and resilience in the Councils’ housing/development strategy.</w:t>
            </w:r>
          </w:p>
          <w:p w14:paraId="5BD1EB86" w14:textId="079DF40D" w:rsidR="0036695C" w:rsidRDefault="0036695C" w:rsidP="0036695C">
            <w:pPr>
              <w:pStyle w:val="ListParagraph"/>
              <w:spacing w:line="240" w:lineRule="auto"/>
              <w:ind w:left="1080"/>
              <w:rPr>
                <w:rFonts w:cs="Arial"/>
                <w:color w:val="4472C4" w:themeColor="accent1"/>
                <w:sz w:val="20"/>
                <w:szCs w:val="20"/>
              </w:rPr>
            </w:pPr>
          </w:p>
          <w:p w14:paraId="51A84CE5" w14:textId="77777777" w:rsidR="00034F73" w:rsidRPr="00B251A0" w:rsidRDefault="00034F73" w:rsidP="0036695C">
            <w:pPr>
              <w:pStyle w:val="ListParagraph"/>
              <w:spacing w:line="240" w:lineRule="auto"/>
              <w:ind w:left="1080"/>
              <w:rPr>
                <w:rFonts w:cs="Arial"/>
                <w:color w:val="4472C4" w:themeColor="accent1"/>
                <w:sz w:val="20"/>
                <w:szCs w:val="20"/>
              </w:rPr>
            </w:pPr>
          </w:p>
          <w:p w14:paraId="468EB72E" w14:textId="4C044254" w:rsidR="00C04E64" w:rsidRPr="00B251A0" w:rsidRDefault="00C04E64" w:rsidP="00C04E64">
            <w:pPr>
              <w:pStyle w:val="NormalWeb"/>
              <w:shd w:val="clear" w:color="auto" w:fill="FFFFFF"/>
              <w:spacing w:before="0" w:beforeAutospacing="0" w:after="0" w:afterAutospacing="0"/>
              <w:rPr>
                <w:rFonts w:ascii="Arial" w:eastAsiaTheme="minorHAnsi" w:hAnsi="Arial" w:cs="Arial"/>
                <w:i/>
                <w:iCs/>
                <w:color w:val="3B3B3B"/>
                <w:sz w:val="20"/>
                <w:szCs w:val="20"/>
                <w:lang w:eastAsia="en-US"/>
              </w:rPr>
            </w:pPr>
            <w:r w:rsidRPr="00B251A0">
              <w:rPr>
                <w:rFonts w:ascii="Arial" w:eastAsiaTheme="minorHAnsi" w:hAnsi="Arial" w:cs="Arial"/>
                <w:i/>
                <w:iCs/>
                <w:color w:val="3B3B3B"/>
                <w:sz w:val="20"/>
                <w:szCs w:val="20"/>
                <w:lang w:eastAsia="en-US"/>
              </w:rPr>
              <w:t>“In the rest of the rural area, we propose a very limited amount of development:</w:t>
            </w:r>
          </w:p>
          <w:p w14:paraId="6C164889" w14:textId="30402768" w:rsidR="00C04E64" w:rsidRPr="00B251A0" w:rsidRDefault="00C04E64" w:rsidP="008326AE">
            <w:pPr>
              <w:pStyle w:val="NormalWeb"/>
              <w:numPr>
                <w:ilvl w:val="0"/>
                <w:numId w:val="23"/>
              </w:numPr>
              <w:shd w:val="clear" w:color="auto" w:fill="FFFFFF"/>
              <w:spacing w:before="0" w:beforeAutospacing="0" w:after="0" w:afterAutospacing="0"/>
              <w:rPr>
                <w:rFonts w:ascii="Arial" w:eastAsiaTheme="minorHAnsi" w:hAnsi="Arial" w:cs="Arial"/>
                <w:i/>
                <w:iCs/>
                <w:color w:val="3B3B3B"/>
                <w:sz w:val="20"/>
                <w:szCs w:val="20"/>
                <w:lang w:eastAsia="en-US"/>
              </w:rPr>
            </w:pPr>
            <w:r w:rsidRPr="00B251A0">
              <w:rPr>
                <w:rFonts w:ascii="Arial" w:eastAsiaTheme="minorHAnsi" w:hAnsi="Arial" w:cs="Arial"/>
                <w:i/>
                <w:iCs/>
                <w:color w:val="3B3B3B"/>
                <w:sz w:val="20"/>
                <w:szCs w:val="20"/>
                <w:lang w:eastAsia="en-US"/>
              </w:rPr>
              <w:t>Small new sites for housing and employment at villages that have very good public transport access, to help our rural communities thrive; …”</w:t>
            </w:r>
          </w:p>
          <w:p w14:paraId="6F73BFB7" w14:textId="409AD38B" w:rsidR="00C04E64" w:rsidRDefault="00C04E64" w:rsidP="00C04E64">
            <w:pPr>
              <w:pStyle w:val="NormalWeb"/>
              <w:shd w:val="clear" w:color="auto" w:fill="FFFFFF"/>
              <w:spacing w:before="0" w:beforeAutospacing="0" w:after="0" w:afterAutospacing="0"/>
              <w:rPr>
                <w:rFonts w:ascii="Arial" w:eastAsiaTheme="minorHAnsi" w:hAnsi="Arial" w:cs="Arial"/>
                <w:i/>
                <w:iCs/>
                <w:color w:val="3B3B3B"/>
                <w:sz w:val="20"/>
                <w:szCs w:val="20"/>
                <w:lang w:eastAsia="en-US"/>
              </w:rPr>
            </w:pPr>
          </w:p>
          <w:p w14:paraId="0EB259FC" w14:textId="77777777" w:rsidR="00034F73" w:rsidRPr="00B251A0" w:rsidRDefault="00034F73" w:rsidP="00C04E64">
            <w:pPr>
              <w:pStyle w:val="NormalWeb"/>
              <w:shd w:val="clear" w:color="auto" w:fill="FFFFFF"/>
              <w:spacing w:before="0" w:beforeAutospacing="0" w:after="0" w:afterAutospacing="0"/>
              <w:rPr>
                <w:rFonts w:ascii="Arial" w:eastAsiaTheme="minorHAnsi" w:hAnsi="Arial" w:cs="Arial"/>
                <w:i/>
                <w:iCs/>
                <w:color w:val="3B3B3B"/>
                <w:sz w:val="20"/>
                <w:szCs w:val="20"/>
                <w:lang w:eastAsia="en-US"/>
              </w:rPr>
            </w:pPr>
          </w:p>
          <w:p w14:paraId="01BA4804" w14:textId="6A92692F" w:rsidR="00C04E64" w:rsidRPr="00B251A0" w:rsidRDefault="00110636" w:rsidP="008326AE">
            <w:pPr>
              <w:pStyle w:val="ListParagraph"/>
              <w:numPr>
                <w:ilvl w:val="0"/>
                <w:numId w:val="23"/>
              </w:numPr>
              <w:shd w:val="clear" w:color="auto" w:fill="FFFFFF"/>
              <w:spacing w:line="240" w:lineRule="auto"/>
              <w:rPr>
                <w:rFonts w:cs="Arial"/>
                <w:color w:val="4472C4" w:themeColor="accent1"/>
                <w:sz w:val="20"/>
                <w:szCs w:val="20"/>
              </w:rPr>
            </w:pPr>
            <w:r w:rsidRPr="00B251A0">
              <w:rPr>
                <w:rFonts w:cs="Arial"/>
                <w:color w:val="4472C4" w:themeColor="accent1"/>
                <w:sz w:val="20"/>
                <w:szCs w:val="20"/>
              </w:rPr>
              <w:t xml:space="preserve">The proposed development strategy involves </w:t>
            </w:r>
            <w:r w:rsidR="0036695C" w:rsidRPr="00B251A0">
              <w:rPr>
                <w:rFonts w:cs="Arial"/>
                <w:color w:val="4472C4" w:themeColor="accent1"/>
                <w:sz w:val="20"/>
                <w:szCs w:val="20"/>
              </w:rPr>
              <w:t xml:space="preserve">growth in </w:t>
            </w:r>
            <w:r w:rsidRPr="00B251A0">
              <w:rPr>
                <w:rFonts w:cs="Arial"/>
                <w:color w:val="4472C4" w:themeColor="accent1"/>
                <w:sz w:val="20"/>
                <w:szCs w:val="20"/>
              </w:rPr>
              <w:t xml:space="preserve">only a very limited </w:t>
            </w:r>
            <w:r w:rsidR="009966A8" w:rsidRPr="00B251A0">
              <w:rPr>
                <w:rFonts w:cs="Arial"/>
                <w:color w:val="4472C4" w:themeColor="accent1"/>
                <w:sz w:val="20"/>
                <w:szCs w:val="20"/>
              </w:rPr>
              <w:t xml:space="preserve">selection </w:t>
            </w:r>
            <w:r w:rsidRPr="00B251A0">
              <w:rPr>
                <w:rFonts w:cs="Arial"/>
                <w:color w:val="4472C4" w:themeColor="accent1"/>
                <w:sz w:val="20"/>
                <w:szCs w:val="20"/>
              </w:rPr>
              <w:t xml:space="preserve">of </w:t>
            </w:r>
            <w:r w:rsidR="009966A8" w:rsidRPr="00B251A0">
              <w:rPr>
                <w:rFonts w:cs="Arial"/>
                <w:color w:val="4472C4" w:themeColor="accent1"/>
                <w:sz w:val="20"/>
                <w:szCs w:val="20"/>
              </w:rPr>
              <w:t xml:space="preserve">the </w:t>
            </w:r>
            <w:r w:rsidRPr="00B251A0">
              <w:rPr>
                <w:rFonts w:cs="Arial"/>
                <w:color w:val="4472C4" w:themeColor="accent1"/>
                <w:sz w:val="20"/>
                <w:szCs w:val="20"/>
              </w:rPr>
              <w:t>settlemen</w:t>
            </w:r>
            <w:r w:rsidR="009966A8" w:rsidRPr="00B251A0">
              <w:rPr>
                <w:rFonts w:cs="Arial"/>
                <w:color w:val="4472C4" w:themeColor="accent1"/>
                <w:sz w:val="20"/>
                <w:szCs w:val="20"/>
              </w:rPr>
              <w:t>ts in Greater Cambridge</w:t>
            </w:r>
            <w:r w:rsidR="0036695C" w:rsidRPr="00B251A0">
              <w:rPr>
                <w:rFonts w:cs="Arial"/>
                <w:color w:val="4472C4" w:themeColor="accent1"/>
                <w:sz w:val="20"/>
                <w:szCs w:val="20"/>
              </w:rPr>
              <w:t>.</w:t>
            </w:r>
          </w:p>
          <w:p w14:paraId="0DDA26EA" w14:textId="5553E05E" w:rsidR="0036695C" w:rsidRPr="00B251A0" w:rsidRDefault="0036695C" w:rsidP="008326AE">
            <w:pPr>
              <w:pStyle w:val="ListParagraph"/>
              <w:numPr>
                <w:ilvl w:val="0"/>
                <w:numId w:val="23"/>
              </w:numPr>
              <w:shd w:val="clear" w:color="auto" w:fill="FFFFFF"/>
              <w:spacing w:line="240" w:lineRule="auto"/>
              <w:rPr>
                <w:rFonts w:cs="Arial"/>
                <w:color w:val="4472C4" w:themeColor="accent1"/>
                <w:sz w:val="20"/>
                <w:szCs w:val="20"/>
              </w:rPr>
            </w:pPr>
            <w:r w:rsidRPr="00B251A0">
              <w:rPr>
                <w:rFonts w:cs="Arial"/>
                <w:color w:val="4472C4" w:themeColor="accent1"/>
                <w:sz w:val="20"/>
                <w:szCs w:val="20"/>
              </w:rPr>
              <w:t xml:space="preserve">Papworth Everard will have excellent public transport access following the delivery of several committed transport infrastructure projects. It is therefore a settlement where </w:t>
            </w:r>
            <w:r w:rsidR="00B40B2E" w:rsidRPr="00B251A0">
              <w:rPr>
                <w:rFonts w:cs="Arial"/>
                <w:color w:val="4472C4" w:themeColor="accent1"/>
                <w:sz w:val="20"/>
                <w:szCs w:val="20"/>
              </w:rPr>
              <w:t xml:space="preserve">housing and employment </w:t>
            </w:r>
            <w:r w:rsidRPr="00B251A0">
              <w:rPr>
                <w:rFonts w:cs="Arial"/>
                <w:color w:val="4472C4" w:themeColor="accent1"/>
                <w:sz w:val="20"/>
                <w:szCs w:val="20"/>
              </w:rPr>
              <w:t xml:space="preserve">growth should be being </w:t>
            </w:r>
            <w:r w:rsidR="006F25D9" w:rsidRPr="00B251A0">
              <w:rPr>
                <w:rFonts w:cs="Arial"/>
                <w:color w:val="4472C4" w:themeColor="accent1"/>
                <w:sz w:val="20"/>
                <w:szCs w:val="20"/>
              </w:rPr>
              <w:t>allocated</w:t>
            </w:r>
            <w:r w:rsidRPr="00B251A0">
              <w:rPr>
                <w:rFonts w:cs="Arial"/>
                <w:color w:val="4472C4" w:themeColor="accent1"/>
                <w:sz w:val="20"/>
                <w:szCs w:val="20"/>
              </w:rPr>
              <w:t xml:space="preserve"> in order to:</w:t>
            </w:r>
          </w:p>
          <w:p w14:paraId="76C55D64" w14:textId="2D1D0F3D" w:rsidR="0036695C" w:rsidRPr="00B251A0" w:rsidRDefault="0036695C" w:rsidP="006F25D9">
            <w:pPr>
              <w:pStyle w:val="ListParagraph"/>
              <w:numPr>
                <w:ilvl w:val="1"/>
                <w:numId w:val="32"/>
              </w:numPr>
              <w:shd w:val="clear" w:color="auto" w:fill="FFFFFF"/>
              <w:spacing w:line="240" w:lineRule="auto"/>
              <w:rPr>
                <w:rFonts w:cs="Arial"/>
                <w:color w:val="4472C4" w:themeColor="accent1"/>
                <w:sz w:val="20"/>
                <w:szCs w:val="20"/>
              </w:rPr>
            </w:pPr>
            <w:r w:rsidRPr="00B251A0">
              <w:rPr>
                <w:rFonts w:cs="Arial"/>
                <w:color w:val="4472C4" w:themeColor="accent1"/>
                <w:sz w:val="20"/>
                <w:szCs w:val="20"/>
              </w:rPr>
              <w:t>Help the village thrive;</w:t>
            </w:r>
          </w:p>
          <w:p w14:paraId="4EDE6C34" w14:textId="789D0C68" w:rsidR="0036695C" w:rsidRPr="00B251A0" w:rsidRDefault="00B40B2E" w:rsidP="006F25D9">
            <w:pPr>
              <w:pStyle w:val="ListParagraph"/>
              <w:numPr>
                <w:ilvl w:val="1"/>
                <w:numId w:val="32"/>
              </w:numPr>
              <w:shd w:val="clear" w:color="auto" w:fill="FFFFFF"/>
              <w:spacing w:line="240" w:lineRule="auto"/>
              <w:rPr>
                <w:rFonts w:cs="Arial"/>
                <w:color w:val="4472C4" w:themeColor="accent1"/>
                <w:sz w:val="20"/>
                <w:szCs w:val="20"/>
              </w:rPr>
            </w:pPr>
            <w:r w:rsidRPr="00B251A0">
              <w:rPr>
                <w:rFonts w:cs="Arial"/>
                <w:color w:val="4472C4" w:themeColor="accent1"/>
                <w:sz w:val="20"/>
                <w:szCs w:val="20"/>
              </w:rPr>
              <w:t>Support the local economy;</w:t>
            </w:r>
          </w:p>
          <w:p w14:paraId="382B7BD2" w14:textId="0BB3ED12" w:rsidR="00B40B2E" w:rsidRPr="00B251A0" w:rsidRDefault="00B40B2E" w:rsidP="006F25D9">
            <w:pPr>
              <w:pStyle w:val="ListParagraph"/>
              <w:numPr>
                <w:ilvl w:val="1"/>
                <w:numId w:val="32"/>
              </w:numPr>
              <w:shd w:val="clear" w:color="auto" w:fill="FFFFFF"/>
              <w:spacing w:line="240" w:lineRule="auto"/>
              <w:rPr>
                <w:rFonts w:cs="Arial"/>
                <w:color w:val="4472C4" w:themeColor="accent1"/>
                <w:sz w:val="20"/>
                <w:szCs w:val="20"/>
              </w:rPr>
            </w:pPr>
            <w:r w:rsidRPr="00B251A0">
              <w:rPr>
                <w:rFonts w:cs="Arial"/>
                <w:color w:val="4472C4" w:themeColor="accent1"/>
                <w:sz w:val="20"/>
                <w:szCs w:val="20"/>
              </w:rPr>
              <w:t>Help meet the plan’s housing requirement;</w:t>
            </w:r>
          </w:p>
          <w:p w14:paraId="773A07B8" w14:textId="10CE3C3A" w:rsidR="00B40B2E" w:rsidRPr="00B251A0" w:rsidRDefault="00B40B2E" w:rsidP="006F25D9">
            <w:pPr>
              <w:pStyle w:val="ListParagraph"/>
              <w:numPr>
                <w:ilvl w:val="1"/>
                <w:numId w:val="32"/>
              </w:numPr>
              <w:spacing w:line="240" w:lineRule="auto"/>
              <w:rPr>
                <w:rFonts w:cs="Arial"/>
                <w:color w:val="4472C4" w:themeColor="accent1"/>
                <w:sz w:val="20"/>
                <w:szCs w:val="20"/>
              </w:rPr>
            </w:pPr>
            <w:r w:rsidRPr="00B251A0">
              <w:rPr>
                <w:rFonts w:cs="Arial"/>
                <w:color w:val="4472C4" w:themeColor="accent1"/>
                <w:sz w:val="20"/>
                <w:szCs w:val="20"/>
              </w:rPr>
              <w:t xml:space="preserve">Provide greater choice in terms of the </w:t>
            </w:r>
            <w:r w:rsidRPr="00B251A0">
              <w:rPr>
                <w:rFonts w:eastAsia="Times New Roman" w:cs="Arial"/>
                <w:color w:val="4472C4" w:themeColor="accent1"/>
                <w:kern w:val="36"/>
                <w:sz w:val="20"/>
                <w:szCs w:val="20"/>
                <w:lang w:eastAsia="en-GB"/>
              </w:rPr>
              <w:t>location, size, type and tenure of housing that the plan can offer; and</w:t>
            </w:r>
          </w:p>
          <w:p w14:paraId="203A514F" w14:textId="553AB093" w:rsidR="00B40B2E" w:rsidRPr="00B251A0" w:rsidRDefault="00B40B2E" w:rsidP="006F25D9">
            <w:pPr>
              <w:pStyle w:val="ListParagraph"/>
              <w:numPr>
                <w:ilvl w:val="1"/>
                <w:numId w:val="32"/>
              </w:numPr>
              <w:shd w:val="clear" w:color="auto" w:fill="FFFFFF"/>
              <w:spacing w:line="240" w:lineRule="auto"/>
              <w:rPr>
                <w:rFonts w:cs="Arial"/>
                <w:color w:val="4472C4" w:themeColor="accent1"/>
                <w:sz w:val="20"/>
                <w:szCs w:val="20"/>
              </w:rPr>
            </w:pPr>
            <w:r w:rsidRPr="00B251A0">
              <w:rPr>
                <w:rFonts w:cs="Arial"/>
                <w:color w:val="4472C4" w:themeColor="accent1"/>
                <w:sz w:val="20"/>
                <w:szCs w:val="20"/>
              </w:rPr>
              <w:t>Provide greater flexibility and resilience in the Councils’ housing/development strategy.</w:t>
            </w:r>
          </w:p>
          <w:p w14:paraId="6B7B2B9B" w14:textId="6B32CDE5" w:rsidR="00C04E64" w:rsidRDefault="00C04E64" w:rsidP="00C04E64">
            <w:pPr>
              <w:pStyle w:val="NormalWeb"/>
              <w:shd w:val="clear" w:color="auto" w:fill="FFFFFF"/>
              <w:spacing w:before="0" w:beforeAutospacing="0" w:after="0" w:afterAutospacing="0"/>
              <w:rPr>
                <w:rFonts w:ascii="Arial" w:eastAsiaTheme="minorHAnsi" w:hAnsi="Arial" w:cs="Arial"/>
                <w:i/>
                <w:iCs/>
                <w:color w:val="3B3B3B"/>
                <w:sz w:val="20"/>
                <w:szCs w:val="20"/>
                <w:lang w:eastAsia="en-US"/>
              </w:rPr>
            </w:pPr>
          </w:p>
          <w:p w14:paraId="1711B09F" w14:textId="77777777" w:rsidR="00034F73" w:rsidRPr="00B251A0" w:rsidRDefault="00034F73" w:rsidP="00C04E64">
            <w:pPr>
              <w:pStyle w:val="NormalWeb"/>
              <w:shd w:val="clear" w:color="auto" w:fill="FFFFFF"/>
              <w:spacing w:before="0" w:beforeAutospacing="0" w:after="0" w:afterAutospacing="0"/>
              <w:rPr>
                <w:rFonts w:ascii="Arial" w:eastAsiaTheme="minorHAnsi" w:hAnsi="Arial" w:cs="Arial"/>
                <w:i/>
                <w:iCs/>
                <w:color w:val="3B3B3B"/>
                <w:sz w:val="20"/>
                <w:szCs w:val="20"/>
                <w:lang w:eastAsia="en-US"/>
              </w:rPr>
            </w:pPr>
          </w:p>
          <w:p w14:paraId="01036E0C" w14:textId="467F61AE" w:rsidR="00C04E64" w:rsidRPr="00B251A0" w:rsidRDefault="00A14E83" w:rsidP="00C04E64">
            <w:pPr>
              <w:pStyle w:val="NormalWeb"/>
              <w:shd w:val="clear" w:color="auto" w:fill="FFFFFF"/>
              <w:spacing w:before="0" w:beforeAutospacing="0" w:after="0" w:afterAutospacing="0"/>
              <w:rPr>
                <w:rFonts w:ascii="Arial" w:eastAsiaTheme="minorHAnsi" w:hAnsi="Arial" w:cs="Arial"/>
                <w:i/>
                <w:iCs/>
                <w:color w:val="3B3B3B"/>
                <w:sz w:val="20"/>
                <w:szCs w:val="20"/>
                <w:lang w:eastAsia="en-US"/>
              </w:rPr>
            </w:pPr>
            <w:r w:rsidRPr="00B251A0">
              <w:rPr>
                <w:rFonts w:ascii="Arial" w:eastAsiaTheme="minorHAnsi" w:hAnsi="Arial" w:cs="Arial"/>
                <w:i/>
                <w:iCs/>
                <w:color w:val="3B3B3B"/>
                <w:sz w:val="20"/>
                <w:szCs w:val="20"/>
                <w:lang w:eastAsia="en-US"/>
              </w:rPr>
              <w:t>“</w:t>
            </w:r>
            <w:r w:rsidR="00C04E64" w:rsidRPr="00B251A0">
              <w:rPr>
                <w:rFonts w:ascii="Arial" w:eastAsiaTheme="minorHAnsi" w:hAnsi="Arial" w:cs="Arial"/>
                <w:i/>
                <w:iCs/>
                <w:color w:val="3B3B3B"/>
                <w:sz w:val="20"/>
                <w:szCs w:val="20"/>
                <w:lang w:eastAsia="en-US"/>
              </w:rPr>
              <w:t>In order to provide greater confidence that the identified housing needs in Policy S/JH New Jobs and Homes can be met, and that a continuing supply of housing can be demonstrated, we are proposing to allocate enough sites to provide approximately a 10% buffer so we have the flexibility to deal with unforeseen circumstances. We also propose to provide flexibility in the amount and type of employment land supply to help enable the Greater Cambridge economy to continue to flourish.</w:t>
            </w:r>
            <w:r w:rsidRPr="00B251A0">
              <w:rPr>
                <w:rFonts w:ascii="Arial" w:eastAsiaTheme="minorHAnsi" w:hAnsi="Arial" w:cs="Arial"/>
                <w:i/>
                <w:iCs/>
                <w:color w:val="3B3B3B"/>
                <w:sz w:val="20"/>
                <w:szCs w:val="20"/>
                <w:lang w:eastAsia="en-US"/>
              </w:rPr>
              <w:t>”</w:t>
            </w:r>
          </w:p>
          <w:p w14:paraId="3794A7B7" w14:textId="1CB182EE" w:rsidR="006E727B" w:rsidRDefault="006E727B" w:rsidP="00C04E64">
            <w:pPr>
              <w:pStyle w:val="NormalWeb"/>
              <w:shd w:val="clear" w:color="auto" w:fill="FFFFFF"/>
              <w:spacing w:before="0" w:beforeAutospacing="0" w:after="0" w:afterAutospacing="0"/>
              <w:rPr>
                <w:rFonts w:ascii="Arial" w:eastAsiaTheme="minorHAnsi" w:hAnsi="Arial" w:cs="Arial"/>
                <w:i/>
                <w:iCs/>
                <w:color w:val="3B3B3B"/>
                <w:sz w:val="20"/>
                <w:szCs w:val="20"/>
                <w:lang w:eastAsia="en-US"/>
              </w:rPr>
            </w:pPr>
          </w:p>
          <w:p w14:paraId="60F89CA8" w14:textId="77777777" w:rsidR="00034F73" w:rsidRPr="00B251A0" w:rsidRDefault="00034F73" w:rsidP="00C04E64">
            <w:pPr>
              <w:pStyle w:val="NormalWeb"/>
              <w:shd w:val="clear" w:color="auto" w:fill="FFFFFF"/>
              <w:spacing w:before="0" w:beforeAutospacing="0" w:after="0" w:afterAutospacing="0"/>
              <w:rPr>
                <w:rFonts w:ascii="Arial" w:eastAsiaTheme="minorHAnsi" w:hAnsi="Arial" w:cs="Arial"/>
                <w:i/>
                <w:iCs/>
                <w:color w:val="3B3B3B"/>
                <w:sz w:val="20"/>
                <w:szCs w:val="20"/>
                <w:lang w:eastAsia="en-US"/>
              </w:rPr>
            </w:pPr>
          </w:p>
          <w:p w14:paraId="6B72E50F" w14:textId="5286ABB1" w:rsidR="006E727B" w:rsidRPr="00B251A0" w:rsidRDefault="006E727B" w:rsidP="008326AE">
            <w:pPr>
              <w:pStyle w:val="ListParagraph"/>
              <w:numPr>
                <w:ilvl w:val="0"/>
                <w:numId w:val="23"/>
              </w:numPr>
              <w:shd w:val="clear" w:color="auto" w:fill="FFFFFF"/>
              <w:spacing w:line="240" w:lineRule="auto"/>
              <w:outlineLvl w:val="0"/>
              <w:rPr>
                <w:rFonts w:eastAsia="Times New Roman" w:cs="Arial"/>
                <w:color w:val="4472C4" w:themeColor="accent1"/>
                <w:kern w:val="36"/>
                <w:sz w:val="20"/>
                <w:szCs w:val="20"/>
                <w:lang w:eastAsia="en-GB"/>
              </w:rPr>
            </w:pPr>
            <w:r w:rsidRPr="00B251A0">
              <w:rPr>
                <w:rFonts w:eastAsia="Times New Roman" w:cs="Arial"/>
                <w:color w:val="4472C4" w:themeColor="accent1"/>
                <w:kern w:val="36"/>
                <w:sz w:val="20"/>
                <w:szCs w:val="20"/>
                <w:lang w:eastAsia="en-GB"/>
              </w:rPr>
              <w:lastRenderedPageBreak/>
              <w:t xml:space="preserve">The ‘additional sources of supply’ which the Housing Delivery Study says will be necessary for gap-filling are not included in the </w:t>
            </w:r>
            <w:r w:rsidR="00301933" w:rsidRPr="00B251A0">
              <w:rPr>
                <w:rFonts w:eastAsia="Times New Roman" w:cs="Arial"/>
                <w:color w:val="4472C4" w:themeColor="accent1"/>
                <w:kern w:val="36"/>
                <w:sz w:val="20"/>
                <w:szCs w:val="20"/>
                <w:lang w:eastAsia="en-GB"/>
              </w:rPr>
              <w:t>‘</w:t>
            </w:r>
            <w:r w:rsidRPr="00B251A0">
              <w:rPr>
                <w:rFonts w:eastAsia="Times New Roman" w:cs="Arial"/>
                <w:color w:val="4472C4" w:themeColor="accent1"/>
                <w:kern w:val="36"/>
                <w:sz w:val="20"/>
                <w:szCs w:val="20"/>
                <w:lang w:eastAsia="en-GB"/>
              </w:rPr>
              <w:t>First Proposals</w:t>
            </w:r>
            <w:r w:rsidR="00301933" w:rsidRPr="00B251A0">
              <w:rPr>
                <w:rFonts w:eastAsia="Times New Roman" w:cs="Arial"/>
                <w:color w:val="4472C4" w:themeColor="accent1"/>
                <w:kern w:val="36"/>
                <w:sz w:val="20"/>
                <w:szCs w:val="20"/>
                <w:lang w:eastAsia="en-GB"/>
              </w:rPr>
              <w:t>’</w:t>
            </w:r>
            <w:r w:rsidRPr="00B251A0">
              <w:rPr>
                <w:rFonts w:eastAsia="Times New Roman" w:cs="Arial"/>
                <w:color w:val="4472C4" w:themeColor="accent1"/>
                <w:kern w:val="36"/>
                <w:sz w:val="20"/>
                <w:szCs w:val="20"/>
                <w:lang w:eastAsia="en-GB"/>
              </w:rPr>
              <w:t>.</w:t>
            </w:r>
          </w:p>
          <w:p w14:paraId="31CA6FC1" w14:textId="3311C7DF" w:rsidR="006E727B" w:rsidRPr="00B251A0" w:rsidRDefault="006E727B" w:rsidP="008326AE">
            <w:pPr>
              <w:pStyle w:val="ListParagraph"/>
              <w:numPr>
                <w:ilvl w:val="0"/>
                <w:numId w:val="23"/>
              </w:numPr>
              <w:shd w:val="clear" w:color="auto" w:fill="FFFFFF"/>
              <w:spacing w:line="240" w:lineRule="auto"/>
              <w:outlineLvl w:val="0"/>
              <w:rPr>
                <w:rFonts w:eastAsia="Times New Roman" w:cs="Arial"/>
                <w:color w:val="4472C4" w:themeColor="accent1"/>
                <w:kern w:val="36"/>
                <w:sz w:val="20"/>
                <w:szCs w:val="20"/>
                <w:lang w:eastAsia="en-GB"/>
              </w:rPr>
            </w:pPr>
            <w:r w:rsidRPr="00B251A0">
              <w:rPr>
                <w:rFonts w:eastAsia="Times New Roman" w:cs="Arial"/>
                <w:color w:val="4472C4" w:themeColor="accent1"/>
                <w:kern w:val="36"/>
                <w:sz w:val="20"/>
                <w:szCs w:val="20"/>
                <w:lang w:eastAsia="en-GB"/>
              </w:rPr>
              <w:t xml:space="preserve">The Councils have included an ‘over-allocation buffer’ of 10% but, as the Study implies, this simply underpins the gap-filling (by building in flexibility and resilience to the supply), </w:t>
            </w:r>
            <w:r w:rsidR="00301933" w:rsidRPr="00B251A0">
              <w:rPr>
                <w:rFonts w:eastAsia="Times New Roman" w:cs="Arial"/>
                <w:color w:val="4472C4" w:themeColor="accent1"/>
                <w:kern w:val="36"/>
                <w:sz w:val="20"/>
                <w:szCs w:val="20"/>
                <w:lang w:eastAsia="en-GB"/>
              </w:rPr>
              <w:t>but does</w:t>
            </w:r>
            <w:r w:rsidRPr="00B251A0">
              <w:rPr>
                <w:rFonts w:eastAsia="Times New Roman" w:cs="Arial"/>
                <w:color w:val="4472C4" w:themeColor="accent1"/>
                <w:kern w:val="36"/>
                <w:sz w:val="20"/>
                <w:szCs w:val="20"/>
                <w:lang w:eastAsia="en-GB"/>
              </w:rPr>
              <w:t xml:space="preserve"> not</w:t>
            </w:r>
            <w:r w:rsidR="00301933" w:rsidRPr="00B251A0">
              <w:rPr>
                <w:rFonts w:eastAsia="Times New Roman" w:cs="Arial"/>
                <w:color w:val="4472C4" w:themeColor="accent1"/>
                <w:kern w:val="36"/>
                <w:sz w:val="20"/>
                <w:szCs w:val="20"/>
                <w:lang w:eastAsia="en-GB"/>
              </w:rPr>
              <w:t xml:space="preserve"> constitute</w:t>
            </w:r>
            <w:r w:rsidRPr="00B251A0">
              <w:rPr>
                <w:rFonts w:eastAsia="Times New Roman" w:cs="Arial"/>
                <w:color w:val="4472C4" w:themeColor="accent1"/>
                <w:kern w:val="36"/>
                <w:sz w:val="20"/>
                <w:szCs w:val="20"/>
                <w:lang w:eastAsia="en-GB"/>
              </w:rPr>
              <w:t xml:space="preserve"> gap-filling its</w:t>
            </w:r>
            <w:r w:rsidR="00301933" w:rsidRPr="00B251A0">
              <w:rPr>
                <w:rFonts w:eastAsia="Times New Roman" w:cs="Arial"/>
                <w:color w:val="4472C4" w:themeColor="accent1"/>
                <w:kern w:val="36"/>
                <w:sz w:val="20"/>
                <w:szCs w:val="20"/>
                <w:lang w:eastAsia="en-GB"/>
              </w:rPr>
              <w:t>elf</w:t>
            </w:r>
            <w:r w:rsidRPr="00B251A0">
              <w:rPr>
                <w:rFonts w:eastAsia="Times New Roman" w:cs="Arial"/>
                <w:color w:val="4472C4" w:themeColor="accent1"/>
                <w:kern w:val="36"/>
                <w:sz w:val="20"/>
                <w:szCs w:val="20"/>
                <w:lang w:eastAsia="en-GB"/>
              </w:rPr>
              <w:t>.</w:t>
            </w:r>
          </w:p>
          <w:p w14:paraId="3E2E09F8" w14:textId="3219E27E" w:rsidR="006E727B" w:rsidRPr="00B251A0" w:rsidRDefault="006E727B" w:rsidP="008326AE">
            <w:pPr>
              <w:pStyle w:val="ListParagraph"/>
              <w:numPr>
                <w:ilvl w:val="0"/>
                <w:numId w:val="23"/>
              </w:numPr>
              <w:shd w:val="clear" w:color="auto" w:fill="FFFFFF"/>
              <w:spacing w:line="240" w:lineRule="auto"/>
              <w:outlineLvl w:val="0"/>
              <w:rPr>
                <w:rFonts w:eastAsia="Times New Roman" w:cs="Arial"/>
                <w:color w:val="4472C4" w:themeColor="accent1"/>
                <w:kern w:val="36"/>
                <w:sz w:val="20"/>
                <w:szCs w:val="20"/>
                <w:lang w:eastAsia="en-GB"/>
              </w:rPr>
            </w:pPr>
            <w:r w:rsidRPr="00B251A0">
              <w:rPr>
                <w:rFonts w:eastAsia="Times New Roman" w:cs="Arial"/>
                <w:color w:val="4472C4" w:themeColor="accent1"/>
                <w:kern w:val="36"/>
                <w:sz w:val="20"/>
                <w:szCs w:val="20"/>
                <w:lang w:eastAsia="en-GB"/>
              </w:rPr>
              <w:t>What is needed for effective gap-filling is the short-medium term sources of supply that paragraph 11.19</w:t>
            </w:r>
            <w:r w:rsidR="00301933" w:rsidRPr="00B251A0">
              <w:rPr>
                <w:rFonts w:eastAsia="Times New Roman" w:cs="Arial"/>
                <w:color w:val="4472C4" w:themeColor="accent1"/>
                <w:kern w:val="36"/>
                <w:sz w:val="20"/>
                <w:szCs w:val="20"/>
                <w:lang w:eastAsia="en-GB"/>
              </w:rPr>
              <w:t xml:space="preserve"> of the Housing Delivery Study</w:t>
            </w:r>
            <w:r w:rsidRPr="00B251A0">
              <w:rPr>
                <w:rFonts w:eastAsia="Times New Roman" w:cs="Arial"/>
                <w:color w:val="4472C4" w:themeColor="accent1"/>
                <w:kern w:val="36"/>
                <w:sz w:val="20"/>
                <w:szCs w:val="20"/>
                <w:lang w:eastAsia="en-GB"/>
              </w:rPr>
              <w:t xml:space="preserve"> refers to (smaller sites in urban areas and villages), like Land at Crow's Nest Farm, Papworth Everard (Greater Cambridge HELAA (2021) Site Reference: 48096)</w:t>
            </w:r>
            <w:r w:rsidR="00301933" w:rsidRPr="00B251A0">
              <w:rPr>
                <w:rFonts w:eastAsia="Times New Roman" w:cs="Arial"/>
                <w:color w:val="4472C4" w:themeColor="accent1"/>
                <w:kern w:val="36"/>
                <w:sz w:val="20"/>
                <w:szCs w:val="20"/>
                <w:lang w:eastAsia="en-GB"/>
              </w:rPr>
              <w:t>.</w:t>
            </w:r>
          </w:p>
          <w:p w14:paraId="0741342E" w14:textId="26D89644" w:rsidR="006E727B" w:rsidRPr="00B251A0" w:rsidRDefault="006E727B" w:rsidP="008326AE">
            <w:pPr>
              <w:pStyle w:val="ListParagraph"/>
              <w:numPr>
                <w:ilvl w:val="0"/>
                <w:numId w:val="23"/>
              </w:numPr>
              <w:shd w:val="clear" w:color="auto" w:fill="FFFFFF"/>
              <w:spacing w:line="240" w:lineRule="auto"/>
              <w:outlineLvl w:val="0"/>
              <w:rPr>
                <w:rFonts w:eastAsia="Times New Roman" w:cs="Arial"/>
                <w:color w:val="4472C4" w:themeColor="accent1"/>
                <w:kern w:val="36"/>
                <w:sz w:val="20"/>
                <w:szCs w:val="20"/>
                <w:lang w:eastAsia="en-GB"/>
              </w:rPr>
            </w:pPr>
            <w:r w:rsidRPr="00B251A0">
              <w:rPr>
                <w:rFonts w:eastAsia="Times New Roman" w:cs="Arial"/>
                <w:color w:val="4472C4" w:themeColor="accent1"/>
                <w:kern w:val="36"/>
                <w:sz w:val="20"/>
                <w:szCs w:val="20"/>
                <w:lang w:eastAsia="en-GB"/>
              </w:rPr>
              <w:t>As paragraph 11.19 points out, spatial options that combine such sites with longer-term sources are better able to deliver across the plan period</w:t>
            </w:r>
            <w:r w:rsidR="00301933" w:rsidRPr="00B251A0">
              <w:rPr>
                <w:rFonts w:eastAsia="Times New Roman" w:cs="Arial"/>
                <w:color w:val="4472C4" w:themeColor="accent1"/>
                <w:kern w:val="36"/>
                <w:sz w:val="20"/>
                <w:szCs w:val="20"/>
                <w:lang w:eastAsia="en-GB"/>
              </w:rPr>
              <w:t xml:space="preserve">, and </w:t>
            </w:r>
            <w:r w:rsidRPr="00B251A0">
              <w:rPr>
                <w:rFonts w:eastAsia="Times New Roman" w:cs="Arial"/>
                <w:color w:val="4472C4" w:themeColor="accent1"/>
                <w:kern w:val="36"/>
                <w:sz w:val="20"/>
                <w:szCs w:val="20"/>
                <w:lang w:eastAsia="en-GB"/>
              </w:rPr>
              <w:t>with a smoother trajectory.</w:t>
            </w:r>
          </w:p>
          <w:p w14:paraId="6B7B8E51" w14:textId="77777777" w:rsidR="006E727B" w:rsidRPr="00B251A0" w:rsidRDefault="006E727B" w:rsidP="008326AE">
            <w:pPr>
              <w:pStyle w:val="ListParagraph"/>
              <w:numPr>
                <w:ilvl w:val="0"/>
                <w:numId w:val="23"/>
              </w:numPr>
              <w:shd w:val="clear" w:color="auto" w:fill="FFFFFF"/>
              <w:spacing w:line="240" w:lineRule="auto"/>
              <w:outlineLvl w:val="0"/>
              <w:rPr>
                <w:rFonts w:eastAsia="Times New Roman" w:cs="Arial"/>
                <w:color w:val="4472C4" w:themeColor="accent1"/>
                <w:kern w:val="36"/>
                <w:sz w:val="20"/>
                <w:szCs w:val="20"/>
                <w:lang w:eastAsia="en-GB"/>
              </w:rPr>
            </w:pPr>
            <w:r w:rsidRPr="00B251A0">
              <w:rPr>
                <w:rFonts w:eastAsia="Times New Roman" w:cs="Arial"/>
                <w:color w:val="4472C4" w:themeColor="accent1"/>
                <w:kern w:val="36"/>
                <w:sz w:val="20"/>
                <w:szCs w:val="20"/>
                <w:lang w:eastAsia="en-GB"/>
              </w:rPr>
              <w:t>It is also the case that these short-medium term sources will provide greater variety in terms of location, size, type and tenure of housing and will, as stated in paragraph 11.19, “[better-match] the housing supply with demand”. These are essential matters in themselves but are of even greater import when coupled with their ability to gap-fill the housing supply ‘troughs’.</w:t>
            </w:r>
          </w:p>
          <w:p w14:paraId="7E0FAFCF" w14:textId="326CDF4D" w:rsidR="006E727B" w:rsidRPr="00B251A0" w:rsidRDefault="006E727B" w:rsidP="008326AE">
            <w:pPr>
              <w:pStyle w:val="ListParagraph"/>
              <w:numPr>
                <w:ilvl w:val="0"/>
                <w:numId w:val="23"/>
              </w:numPr>
              <w:shd w:val="clear" w:color="auto" w:fill="FFFFFF"/>
              <w:spacing w:line="240" w:lineRule="auto"/>
              <w:outlineLvl w:val="0"/>
              <w:rPr>
                <w:rFonts w:eastAsia="Times New Roman" w:cs="Arial"/>
                <w:color w:val="4472C4" w:themeColor="accent1"/>
                <w:kern w:val="36"/>
                <w:sz w:val="20"/>
                <w:szCs w:val="20"/>
                <w:lang w:eastAsia="en-GB"/>
              </w:rPr>
            </w:pPr>
            <w:r w:rsidRPr="00B251A0">
              <w:rPr>
                <w:rFonts w:eastAsia="Times New Roman" w:cs="Arial"/>
                <w:color w:val="4472C4" w:themeColor="accent1"/>
                <w:kern w:val="36"/>
                <w:sz w:val="20"/>
                <w:szCs w:val="20"/>
                <w:lang w:eastAsia="en-GB"/>
              </w:rPr>
              <w:t>Land at Crow's Nest Farm, Papworth Everard (Greater Cambridge HELAA (2021) Site Reference: 48096) and other small-medium sites that are well located in relation to public transport corridors and nodes should therefore be allocated in order to:</w:t>
            </w:r>
          </w:p>
          <w:p w14:paraId="3AD8981A" w14:textId="6BBFFD38" w:rsidR="006E727B" w:rsidRPr="00B251A0" w:rsidRDefault="006E727B" w:rsidP="00301933">
            <w:pPr>
              <w:pStyle w:val="ListParagraph"/>
              <w:numPr>
                <w:ilvl w:val="1"/>
                <w:numId w:val="33"/>
              </w:numPr>
              <w:shd w:val="clear" w:color="auto" w:fill="FFFFFF"/>
              <w:spacing w:line="240" w:lineRule="auto"/>
              <w:outlineLvl w:val="0"/>
              <w:rPr>
                <w:rFonts w:eastAsia="Times New Roman" w:cs="Arial"/>
                <w:color w:val="4472C4" w:themeColor="accent1"/>
                <w:kern w:val="36"/>
                <w:sz w:val="20"/>
                <w:szCs w:val="20"/>
                <w:lang w:eastAsia="en-GB"/>
              </w:rPr>
            </w:pPr>
            <w:r w:rsidRPr="00B251A0">
              <w:rPr>
                <w:rFonts w:eastAsia="Times New Roman" w:cs="Arial"/>
                <w:color w:val="4472C4" w:themeColor="accent1"/>
                <w:kern w:val="36"/>
                <w:sz w:val="20"/>
                <w:szCs w:val="20"/>
                <w:lang w:eastAsia="en-GB"/>
              </w:rPr>
              <w:t xml:space="preserve">Provide a reliable, smooth supply of housing land over </w:t>
            </w:r>
            <w:r w:rsidR="00301933" w:rsidRPr="00B251A0">
              <w:rPr>
                <w:rFonts w:eastAsia="Times New Roman" w:cs="Arial"/>
                <w:color w:val="4472C4" w:themeColor="accent1"/>
                <w:kern w:val="36"/>
                <w:sz w:val="20"/>
                <w:szCs w:val="20"/>
                <w:lang w:eastAsia="en-GB"/>
              </w:rPr>
              <w:t>the whole</w:t>
            </w:r>
            <w:r w:rsidRPr="00B251A0">
              <w:rPr>
                <w:rFonts w:eastAsia="Times New Roman" w:cs="Arial"/>
                <w:color w:val="4472C4" w:themeColor="accent1"/>
                <w:kern w:val="36"/>
                <w:sz w:val="20"/>
                <w:szCs w:val="20"/>
                <w:lang w:eastAsia="en-GB"/>
              </w:rPr>
              <w:t xml:space="preserve"> plan period; and</w:t>
            </w:r>
          </w:p>
          <w:p w14:paraId="224FF9AF" w14:textId="77777777" w:rsidR="006E727B" w:rsidRPr="00B251A0" w:rsidRDefault="006E727B" w:rsidP="00301933">
            <w:pPr>
              <w:pStyle w:val="ListParagraph"/>
              <w:numPr>
                <w:ilvl w:val="1"/>
                <w:numId w:val="33"/>
              </w:numPr>
              <w:shd w:val="clear" w:color="auto" w:fill="FFFFFF"/>
              <w:spacing w:line="240" w:lineRule="auto"/>
              <w:outlineLvl w:val="0"/>
              <w:rPr>
                <w:rFonts w:eastAsia="Times New Roman" w:cs="Arial"/>
                <w:color w:val="4472C4" w:themeColor="accent1"/>
                <w:kern w:val="36"/>
                <w:sz w:val="20"/>
                <w:szCs w:val="20"/>
                <w:lang w:eastAsia="en-GB"/>
              </w:rPr>
            </w:pPr>
            <w:r w:rsidRPr="00B251A0">
              <w:rPr>
                <w:rFonts w:eastAsia="Times New Roman" w:cs="Arial"/>
                <w:color w:val="4472C4" w:themeColor="accent1"/>
                <w:kern w:val="36"/>
                <w:sz w:val="20"/>
                <w:szCs w:val="20"/>
                <w:lang w:eastAsia="en-GB"/>
              </w:rPr>
              <w:t>Provide as much choice as possible in terms of the location, size, type and tenure of housing that the plan can offer.</w:t>
            </w:r>
          </w:p>
          <w:p w14:paraId="5CEED9CE" w14:textId="3C9EBBB6" w:rsidR="00C04E64" w:rsidRDefault="00C04E64" w:rsidP="00A14E83">
            <w:pPr>
              <w:spacing w:line="240" w:lineRule="auto"/>
              <w:rPr>
                <w:rFonts w:cs="Arial"/>
                <w:i/>
                <w:iCs/>
                <w:color w:val="3B3B3B"/>
                <w:sz w:val="20"/>
                <w:szCs w:val="20"/>
              </w:rPr>
            </w:pPr>
          </w:p>
          <w:p w14:paraId="3094176D" w14:textId="77777777" w:rsidR="00034F73" w:rsidRPr="00B251A0" w:rsidRDefault="00034F73" w:rsidP="00A14E83">
            <w:pPr>
              <w:spacing w:line="240" w:lineRule="auto"/>
              <w:rPr>
                <w:rFonts w:cs="Arial"/>
                <w:i/>
                <w:iCs/>
                <w:color w:val="3B3B3B"/>
                <w:sz w:val="20"/>
                <w:szCs w:val="20"/>
              </w:rPr>
            </w:pPr>
          </w:p>
          <w:p w14:paraId="23D18AC5" w14:textId="043FDF44" w:rsidR="00A14E83" w:rsidRPr="00B251A0" w:rsidRDefault="00A14E83" w:rsidP="00A14E83">
            <w:pPr>
              <w:pStyle w:val="NormalWeb"/>
              <w:shd w:val="clear" w:color="auto" w:fill="FFFFFF"/>
              <w:spacing w:before="0" w:beforeAutospacing="0" w:after="0" w:afterAutospacing="0"/>
              <w:rPr>
                <w:rFonts w:ascii="Arial" w:eastAsiaTheme="minorHAnsi" w:hAnsi="Arial" w:cs="Arial"/>
                <w:i/>
                <w:iCs/>
                <w:color w:val="3B3B3B"/>
                <w:sz w:val="20"/>
                <w:szCs w:val="20"/>
                <w:lang w:eastAsia="en-US"/>
              </w:rPr>
            </w:pPr>
            <w:r w:rsidRPr="00B251A0">
              <w:rPr>
                <w:rFonts w:ascii="Arial" w:eastAsiaTheme="minorHAnsi" w:hAnsi="Arial" w:cs="Arial"/>
                <w:i/>
                <w:iCs/>
                <w:color w:val="3B3B3B"/>
                <w:sz w:val="20"/>
                <w:szCs w:val="20"/>
                <w:lang w:eastAsia="en-US"/>
              </w:rPr>
              <w:t>“The total additional homes to be identified is set out below, taking into account the identified housing need for the period 2020-41, application of the approximate 10% buffer, and current committed housing supply.”</w:t>
            </w:r>
          </w:p>
          <w:p w14:paraId="2164F199" w14:textId="38952F68" w:rsidR="00A14E83" w:rsidRPr="00B251A0" w:rsidRDefault="00A14E83" w:rsidP="00A14E83">
            <w:pPr>
              <w:pStyle w:val="NormalWeb"/>
              <w:shd w:val="clear" w:color="auto" w:fill="FFFFFF"/>
              <w:spacing w:before="0" w:beforeAutospacing="0" w:after="0" w:afterAutospacing="0"/>
              <w:rPr>
                <w:rFonts w:ascii="Arial" w:eastAsiaTheme="minorHAnsi" w:hAnsi="Arial" w:cs="Arial"/>
                <w:i/>
                <w:iCs/>
                <w:color w:val="3B3B3B"/>
                <w:sz w:val="20"/>
                <w:szCs w:val="20"/>
                <w:lang w:eastAsia="en-US"/>
              </w:rPr>
            </w:pPr>
          </w:p>
          <w:p w14:paraId="4E4884CB" w14:textId="77777777" w:rsidR="00A14E83" w:rsidRPr="00B251A0" w:rsidRDefault="00A14E83" w:rsidP="00A14E83">
            <w:pPr>
              <w:pStyle w:val="NormalWeb"/>
              <w:shd w:val="clear" w:color="auto" w:fill="FFFFFF"/>
              <w:spacing w:before="0" w:beforeAutospacing="0" w:after="0" w:afterAutospacing="0"/>
              <w:rPr>
                <w:rFonts w:ascii="Arial" w:eastAsiaTheme="minorHAnsi" w:hAnsi="Arial" w:cs="Arial"/>
                <w:i/>
                <w:iCs/>
                <w:color w:val="3B3B3B"/>
                <w:sz w:val="20"/>
                <w:szCs w:val="20"/>
                <w:lang w:eastAsia="en-US"/>
              </w:rPr>
            </w:pPr>
          </w:p>
          <w:tbl>
            <w:tblPr>
              <w:tblW w:w="56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4581"/>
              <w:gridCol w:w="1089"/>
            </w:tblGrid>
            <w:tr w:rsidR="00A14E83" w:rsidRPr="00B251A0" w14:paraId="741DAE73" w14:textId="77777777" w:rsidTr="00A14E83">
              <w:trPr>
                <w:trHeight w:val="435"/>
              </w:trPr>
              <w:tc>
                <w:tcPr>
                  <w:tcW w:w="0" w:type="auto"/>
                  <w:shd w:val="clear" w:color="auto" w:fill="D9D9D9"/>
                  <w:tcMar>
                    <w:top w:w="15" w:type="dxa"/>
                    <w:left w:w="0" w:type="dxa"/>
                    <w:bottom w:w="15" w:type="dxa"/>
                    <w:right w:w="105" w:type="dxa"/>
                  </w:tcMar>
                  <w:hideMark/>
                </w:tcPr>
                <w:p w14:paraId="38C566BB" w14:textId="77777777" w:rsidR="00A14E83" w:rsidRPr="00B251A0" w:rsidRDefault="00A14E83" w:rsidP="00A14E83">
                  <w:pPr>
                    <w:pStyle w:val="NormalWeb"/>
                    <w:spacing w:before="0" w:beforeAutospacing="0" w:after="0" w:afterAutospacing="0"/>
                    <w:ind w:left="45"/>
                    <w:rPr>
                      <w:i/>
                      <w:iCs/>
                      <w:sz w:val="18"/>
                      <w:szCs w:val="18"/>
                    </w:rPr>
                  </w:pPr>
                  <w:r w:rsidRPr="00B251A0">
                    <w:rPr>
                      <w:rFonts w:ascii="Arial" w:hAnsi="Arial" w:cs="Arial"/>
                      <w:b/>
                      <w:bCs/>
                      <w:i/>
                      <w:iCs/>
                      <w:color w:val="4472C4"/>
                      <w:sz w:val="18"/>
                      <w:szCs w:val="18"/>
                    </w:rPr>
                    <w:t>Homes to provide for</w:t>
                  </w:r>
                </w:p>
              </w:tc>
              <w:tc>
                <w:tcPr>
                  <w:tcW w:w="0" w:type="auto"/>
                  <w:shd w:val="clear" w:color="auto" w:fill="D9D9D9"/>
                  <w:tcMar>
                    <w:top w:w="15" w:type="dxa"/>
                    <w:left w:w="0" w:type="dxa"/>
                    <w:bottom w:w="15" w:type="dxa"/>
                    <w:right w:w="105" w:type="dxa"/>
                  </w:tcMar>
                  <w:hideMark/>
                </w:tcPr>
                <w:p w14:paraId="0802F27F" w14:textId="77777777" w:rsidR="00A14E83" w:rsidRPr="00B251A0" w:rsidRDefault="00A14E83" w:rsidP="00A14E83">
                  <w:pPr>
                    <w:pStyle w:val="Heading4"/>
                    <w:spacing w:before="0" w:after="0"/>
                    <w:rPr>
                      <w:i/>
                      <w:sz w:val="18"/>
                      <w:szCs w:val="18"/>
                    </w:rPr>
                  </w:pPr>
                  <w:r w:rsidRPr="00B251A0">
                    <w:rPr>
                      <w:rFonts w:cs="Arial"/>
                      <w:bCs/>
                      <w:i/>
                      <w:color w:val="4472C4"/>
                      <w:sz w:val="18"/>
                      <w:szCs w:val="18"/>
                    </w:rPr>
                    <w:t>Homes 2020</w:t>
                  </w:r>
                  <w:r w:rsidRPr="00B251A0">
                    <w:rPr>
                      <w:rFonts w:cs="Arial"/>
                      <w:bCs/>
                      <w:i/>
                      <w:color w:val="4472C4"/>
                      <w:sz w:val="18"/>
                      <w:szCs w:val="18"/>
                    </w:rPr>
                    <w:noBreakHyphen/>
                    <w:t>2041</w:t>
                  </w:r>
                </w:p>
              </w:tc>
            </w:tr>
            <w:tr w:rsidR="00A14E83" w:rsidRPr="00B251A0" w14:paraId="25B81798" w14:textId="77777777" w:rsidTr="00A14E83">
              <w:tc>
                <w:tcPr>
                  <w:tcW w:w="0" w:type="auto"/>
                  <w:tcMar>
                    <w:top w:w="15" w:type="dxa"/>
                    <w:left w:w="0" w:type="dxa"/>
                    <w:bottom w:w="15" w:type="dxa"/>
                    <w:right w:w="105" w:type="dxa"/>
                  </w:tcMar>
                  <w:hideMark/>
                </w:tcPr>
                <w:p w14:paraId="31BA7A73" w14:textId="77777777" w:rsidR="00A14E83" w:rsidRPr="00B251A0" w:rsidRDefault="00A14E83" w:rsidP="00A14E83">
                  <w:pPr>
                    <w:pStyle w:val="NormalWeb"/>
                    <w:spacing w:before="0" w:beforeAutospacing="0" w:after="0" w:afterAutospacing="0"/>
                    <w:ind w:left="45"/>
                    <w:rPr>
                      <w:i/>
                      <w:iCs/>
                      <w:sz w:val="18"/>
                      <w:szCs w:val="18"/>
                    </w:rPr>
                  </w:pPr>
                  <w:r w:rsidRPr="00B251A0">
                    <w:rPr>
                      <w:rFonts w:ascii="Arial" w:hAnsi="Arial" w:cs="Arial"/>
                      <w:i/>
                      <w:iCs/>
                      <w:sz w:val="18"/>
                      <w:szCs w:val="18"/>
                    </w:rPr>
                    <w:t>Housing need (rounded)</w:t>
                  </w:r>
                </w:p>
              </w:tc>
              <w:tc>
                <w:tcPr>
                  <w:tcW w:w="0" w:type="auto"/>
                  <w:tcMar>
                    <w:top w:w="15" w:type="dxa"/>
                    <w:left w:w="0" w:type="dxa"/>
                    <w:bottom w:w="15" w:type="dxa"/>
                    <w:right w:w="105" w:type="dxa"/>
                  </w:tcMar>
                  <w:hideMark/>
                </w:tcPr>
                <w:p w14:paraId="59F84D3E" w14:textId="77777777" w:rsidR="00A14E83" w:rsidRPr="00B251A0" w:rsidRDefault="00A14E83" w:rsidP="00A14E83">
                  <w:pPr>
                    <w:pStyle w:val="NormalWeb"/>
                    <w:spacing w:before="0" w:beforeAutospacing="0" w:after="0" w:afterAutospacing="0"/>
                    <w:jc w:val="center"/>
                    <w:rPr>
                      <w:i/>
                      <w:iCs/>
                      <w:sz w:val="18"/>
                      <w:szCs w:val="18"/>
                    </w:rPr>
                  </w:pPr>
                  <w:r w:rsidRPr="00B251A0">
                    <w:rPr>
                      <w:rFonts w:ascii="Arial" w:hAnsi="Arial" w:cs="Arial"/>
                      <w:i/>
                      <w:iCs/>
                      <w:sz w:val="18"/>
                      <w:szCs w:val="18"/>
                    </w:rPr>
                    <w:t>44,400</w:t>
                  </w:r>
                </w:p>
              </w:tc>
            </w:tr>
            <w:tr w:rsidR="00A14E83" w:rsidRPr="00B251A0" w14:paraId="7B6956CD" w14:textId="77777777" w:rsidTr="00A14E83">
              <w:tc>
                <w:tcPr>
                  <w:tcW w:w="0" w:type="auto"/>
                  <w:tcMar>
                    <w:top w:w="15" w:type="dxa"/>
                    <w:left w:w="0" w:type="dxa"/>
                    <w:bottom w:w="15" w:type="dxa"/>
                    <w:right w:w="105" w:type="dxa"/>
                  </w:tcMar>
                  <w:hideMark/>
                </w:tcPr>
                <w:p w14:paraId="226DF46B" w14:textId="77777777" w:rsidR="00A14E83" w:rsidRPr="00B251A0" w:rsidRDefault="00A14E83" w:rsidP="00A14E83">
                  <w:pPr>
                    <w:pStyle w:val="NormalWeb"/>
                    <w:spacing w:before="0" w:beforeAutospacing="0" w:after="0" w:afterAutospacing="0"/>
                    <w:ind w:left="45"/>
                    <w:rPr>
                      <w:i/>
                      <w:iCs/>
                      <w:sz w:val="18"/>
                      <w:szCs w:val="18"/>
                    </w:rPr>
                  </w:pPr>
                  <w:r w:rsidRPr="00B251A0">
                    <w:rPr>
                      <w:rFonts w:ascii="Arial" w:hAnsi="Arial" w:cs="Arial"/>
                      <w:i/>
                      <w:iCs/>
                      <w:sz w:val="18"/>
                      <w:szCs w:val="18"/>
                    </w:rPr>
                    <w:t>Approximate 10% buffer for flexibility</w:t>
                  </w:r>
                </w:p>
              </w:tc>
              <w:tc>
                <w:tcPr>
                  <w:tcW w:w="0" w:type="auto"/>
                  <w:tcMar>
                    <w:top w:w="15" w:type="dxa"/>
                    <w:left w:w="0" w:type="dxa"/>
                    <w:bottom w:w="15" w:type="dxa"/>
                    <w:right w:w="105" w:type="dxa"/>
                  </w:tcMar>
                  <w:hideMark/>
                </w:tcPr>
                <w:p w14:paraId="6F466A4F" w14:textId="77777777" w:rsidR="00A14E83" w:rsidRPr="00B251A0" w:rsidRDefault="00A14E83" w:rsidP="00A14E83">
                  <w:pPr>
                    <w:pStyle w:val="NormalWeb"/>
                    <w:spacing w:before="0" w:beforeAutospacing="0" w:after="0" w:afterAutospacing="0"/>
                    <w:jc w:val="center"/>
                    <w:rPr>
                      <w:i/>
                      <w:iCs/>
                      <w:sz w:val="18"/>
                      <w:szCs w:val="18"/>
                    </w:rPr>
                  </w:pPr>
                  <w:r w:rsidRPr="00B251A0">
                    <w:rPr>
                      <w:rFonts w:ascii="Arial" w:hAnsi="Arial" w:cs="Arial"/>
                      <w:i/>
                      <w:iCs/>
                      <w:sz w:val="18"/>
                      <w:szCs w:val="18"/>
                    </w:rPr>
                    <w:t>4,440</w:t>
                  </w:r>
                </w:p>
              </w:tc>
            </w:tr>
            <w:tr w:rsidR="00A14E83" w:rsidRPr="00B251A0" w14:paraId="3905F432" w14:textId="77777777" w:rsidTr="00A14E83">
              <w:tc>
                <w:tcPr>
                  <w:tcW w:w="0" w:type="auto"/>
                  <w:tcMar>
                    <w:top w:w="15" w:type="dxa"/>
                    <w:left w:w="0" w:type="dxa"/>
                    <w:bottom w:w="15" w:type="dxa"/>
                    <w:right w:w="105" w:type="dxa"/>
                  </w:tcMar>
                  <w:hideMark/>
                </w:tcPr>
                <w:p w14:paraId="1333EB4A" w14:textId="77777777" w:rsidR="00A14E83" w:rsidRPr="00B251A0" w:rsidRDefault="00A14E83" w:rsidP="00A14E83">
                  <w:pPr>
                    <w:pStyle w:val="NormalWeb"/>
                    <w:spacing w:before="0" w:beforeAutospacing="0" w:after="0" w:afterAutospacing="0"/>
                    <w:ind w:left="45"/>
                    <w:rPr>
                      <w:i/>
                      <w:iCs/>
                      <w:sz w:val="18"/>
                      <w:szCs w:val="18"/>
                    </w:rPr>
                  </w:pPr>
                  <w:r w:rsidRPr="00B251A0">
                    <w:rPr>
                      <w:rFonts w:ascii="Arial" w:hAnsi="Arial" w:cs="Arial"/>
                      <w:i/>
                      <w:iCs/>
                      <w:sz w:val="18"/>
                      <w:szCs w:val="18"/>
                    </w:rPr>
                    <w:t>Total number of homes to provide for</w:t>
                  </w:r>
                </w:p>
              </w:tc>
              <w:tc>
                <w:tcPr>
                  <w:tcW w:w="0" w:type="auto"/>
                  <w:tcMar>
                    <w:top w:w="15" w:type="dxa"/>
                    <w:left w:w="0" w:type="dxa"/>
                    <w:bottom w:w="15" w:type="dxa"/>
                    <w:right w:w="105" w:type="dxa"/>
                  </w:tcMar>
                  <w:hideMark/>
                </w:tcPr>
                <w:p w14:paraId="49D63040" w14:textId="77777777" w:rsidR="00A14E83" w:rsidRPr="00B251A0" w:rsidRDefault="00A14E83" w:rsidP="00A14E83">
                  <w:pPr>
                    <w:pStyle w:val="NormalWeb"/>
                    <w:spacing w:before="0" w:beforeAutospacing="0" w:after="0" w:afterAutospacing="0"/>
                    <w:jc w:val="center"/>
                    <w:rPr>
                      <w:i/>
                      <w:iCs/>
                      <w:sz w:val="18"/>
                      <w:szCs w:val="18"/>
                    </w:rPr>
                  </w:pPr>
                  <w:r w:rsidRPr="00B251A0">
                    <w:rPr>
                      <w:rFonts w:ascii="Arial" w:hAnsi="Arial" w:cs="Arial"/>
                      <w:i/>
                      <w:iCs/>
                      <w:sz w:val="18"/>
                      <w:szCs w:val="18"/>
                    </w:rPr>
                    <w:t>48,840</w:t>
                  </w:r>
                </w:p>
              </w:tc>
            </w:tr>
            <w:tr w:rsidR="00A14E83" w:rsidRPr="00B251A0" w14:paraId="6E1D7CC1" w14:textId="77777777" w:rsidTr="00A14E83">
              <w:tc>
                <w:tcPr>
                  <w:tcW w:w="0" w:type="auto"/>
                  <w:shd w:val="clear" w:color="auto" w:fill="D9D9D9"/>
                  <w:tcMar>
                    <w:top w:w="15" w:type="dxa"/>
                    <w:left w:w="0" w:type="dxa"/>
                    <w:bottom w:w="15" w:type="dxa"/>
                    <w:right w:w="105" w:type="dxa"/>
                  </w:tcMar>
                  <w:hideMark/>
                </w:tcPr>
                <w:p w14:paraId="3476000D" w14:textId="77777777" w:rsidR="00A14E83" w:rsidRPr="00B251A0" w:rsidRDefault="00A14E83" w:rsidP="00A14E83">
                  <w:pPr>
                    <w:pStyle w:val="NormalWeb"/>
                    <w:spacing w:before="0" w:beforeAutospacing="0" w:after="0" w:afterAutospacing="0"/>
                    <w:ind w:left="45"/>
                    <w:rPr>
                      <w:i/>
                      <w:iCs/>
                      <w:sz w:val="18"/>
                      <w:szCs w:val="18"/>
                    </w:rPr>
                  </w:pPr>
                  <w:r w:rsidRPr="00B251A0">
                    <w:rPr>
                      <w:rFonts w:ascii="Arial" w:hAnsi="Arial" w:cs="Arial"/>
                      <w:b/>
                      <w:bCs/>
                      <w:i/>
                      <w:iCs/>
                      <w:color w:val="000000"/>
                      <w:sz w:val="18"/>
                      <w:szCs w:val="18"/>
                    </w:rPr>
                    <w:t>Current housing supply: </w:t>
                  </w:r>
                  <w:r w:rsidRPr="00B251A0">
                    <w:rPr>
                      <w:rFonts w:ascii="Arial" w:hAnsi="Arial" w:cs="Arial"/>
                      <w:i/>
                      <w:iCs/>
                      <w:color w:val="000000"/>
                      <w:sz w:val="18"/>
                      <w:szCs w:val="18"/>
                    </w:rPr>
                    <w:t>comprising</w:t>
                  </w:r>
                  <w:r w:rsidRPr="00B251A0">
                    <w:rPr>
                      <w:rFonts w:ascii="Arial" w:hAnsi="Arial" w:cs="Arial"/>
                      <w:b/>
                      <w:bCs/>
                      <w:i/>
                      <w:iCs/>
                      <w:color w:val="000000"/>
                      <w:sz w:val="18"/>
                      <w:szCs w:val="18"/>
                    </w:rPr>
                    <w:t> </w:t>
                  </w:r>
                  <w:r w:rsidRPr="00B251A0">
                    <w:rPr>
                      <w:rFonts w:ascii="Arial" w:hAnsi="Arial" w:cs="Arial"/>
                      <w:i/>
                      <w:iCs/>
                      <w:color w:val="000000"/>
                      <w:sz w:val="18"/>
                      <w:szCs w:val="18"/>
                    </w:rPr>
                    <w:t>adopted allocations, windfall allowance, and dwelling equivalent from communal accommodation allocated or with planning permission</w:t>
                  </w:r>
                </w:p>
              </w:tc>
              <w:tc>
                <w:tcPr>
                  <w:tcW w:w="0" w:type="auto"/>
                  <w:shd w:val="clear" w:color="auto" w:fill="D9D9D9"/>
                  <w:tcMar>
                    <w:top w:w="15" w:type="dxa"/>
                    <w:left w:w="0" w:type="dxa"/>
                    <w:bottom w:w="15" w:type="dxa"/>
                    <w:right w:w="105" w:type="dxa"/>
                  </w:tcMar>
                  <w:hideMark/>
                </w:tcPr>
                <w:p w14:paraId="2DECBD0E" w14:textId="77777777" w:rsidR="00A14E83" w:rsidRPr="00B251A0" w:rsidRDefault="00A14E83" w:rsidP="00A14E83">
                  <w:pPr>
                    <w:pStyle w:val="NormalWeb"/>
                    <w:spacing w:before="0" w:beforeAutospacing="0" w:after="0" w:afterAutospacing="0"/>
                    <w:jc w:val="center"/>
                    <w:rPr>
                      <w:i/>
                      <w:iCs/>
                      <w:sz w:val="18"/>
                      <w:szCs w:val="18"/>
                    </w:rPr>
                  </w:pPr>
                  <w:r w:rsidRPr="00B251A0">
                    <w:rPr>
                      <w:rFonts w:ascii="Arial" w:hAnsi="Arial" w:cs="Arial"/>
                      <w:i/>
                      <w:iCs/>
                      <w:color w:val="000000"/>
                      <w:sz w:val="18"/>
                      <w:szCs w:val="18"/>
                    </w:rPr>
                    <w:t>37,200</w:t>
                  </w:r>
                </w:p>
              </w:tc>
            </w:tr>
            <w:tr w:rsidR="00A14E83" w:rsidRPr="00B251A0" w14:paraId="62ECDAB1" w14:textId="77777777" w:rsidTr="00A14E83">
              <w:tc>
                <w:tcPr>
                  <w:tcW w:w="0" w:type="auto"/>
                  <w:shd w:val="clear" w:color="auto" w:fill="D9D9D9"/>
                  <w:tcMar>
                    <w:top w:w="15" w:type="dxa"/>
                    <w:left w:w="0" w:type="dxa"/>
                    <w:bottom w:w="15" w:type="dxa"/>
                    <w:right w:w="105" w:type="dxa"/>
                  </w:tcMar>
                  <w:hideMark/>
                </w:tcPr>
                <w:p w14:paraId="7C47DA91" w14:textId="77777777" w:rsidR="00A14E83" w:rsidRPr="00B251A0" w:rsidRDefault="00A14E83" w:rsidP="00A14E83">
                  <w:pPr>
                    <w:pStyle w:val="NormalWeb"/>
                    <w:spacing w:before="0" w:beforeAutospacing="0" w:after="0" w:afterAutospacing="0"/>
                    <w:ind w:left="45"/>
                    <w:rPr>
                      <w:i/>
                      <w:iCs/>
                      <w:sz w:val="18"/>
                      <w:szCs w:val="18"/>
                    </w:rPr>
                  </w:pPr>
                  <w:r w:rsidRPr="00B251A0">
                    <w:rPr>
                      <w:rFonts w:ascii="Arial" w:hAnsi="Arial" w:cs="Arial"/>
                      <w:b/>
                      <w:bCs/>
                      <w:i/>
                      <w:iCs/>
                      <w:color w:val="000000"/>
                      <w:sz w:val="18"/>
                      <w:szCs w:val="18"/>
                    </w:rPr>
                    <w:t>Total additional homes to be identified</w:t>
                  </w:r>
                </w:p>
              </w:tc>
              <w:tc>
                <w:tcPr>
                  <w:tcW w:w="0" w:type="auto"/>
                  <w:shd w:val="clear" w:color="auto" w:fill="D9D9D9"/>
                  <w:tcMar>
                    <w:top w:w="15" w:type="dxa"/>
                    <w:left w:w="0" w:type="dxa"/>
                    <w:bottom w:w="15" w:type="dxa"/>
                    <w:right w:w="105" w:type="dxa"/>
                  </w:tcMar>
                  <w:hideMark/>
                </w:tcPr>
                <w:p w14:paraId="6B98E096" w14:textId="77777777" w:rsidR="00A14E83" w:rsidRPr="00B251A0" w:rsidRDefault="00A14E83" w:rsidP="00A14E83">
                  <w:pPr>
                    <w:pStyle w:val="NormalWeb"/>
                    <w:spacing w:before="0" w:beforeAutospacing="0" w:after="0" w:afterAutospacing="0"/>
                    <w:jc w:val="center"/>
                    <w:rPr>
                      <w:i/>
                      <w:iCs/>
                      <w:sz w:val="18"/>
                      <w:szCs w:val="18"/>
                    </w:rPr>
                  </w:pPr>
                  <w:r w:rsidRPr="00B251A0">
                    <w:rPr>
                      <w:rFonts w:ascii="Arial" w:hAnsi="Arial" w:cs="Arial"/>
                      <w:b/>
                      <w:bCs/>
                      <w:i/>
                      <w:iCs/>
                      <w:color w:val="000000"/>
                      <w:sz w:val="18"/>
                      <w:szCs w:val="18"/>
                    </w:rPr>
                    <w:t>11,640</w:t>
                  </w:r>
                </w:p>
              </w:tc>
            </w:tr>
          </w:tbl>
          <w:p w14:paraId="338EB069" w14:textId="77777777" w:rsidR="00A14E83" w:rsidRPr="00B251A0" w:rsidRDefault="00A14E83" w:rsidP="00A14E83">
            <w:pPr>
              <w:pStyle w:val="NormalWeb"/>
              <w:shd w:val="clear" w:color="auto" w:fill="FFFFFF"/>
              <w:spacing w:before="0" w:beforeAutospacing="0" w:after="0" w:afterAutospacing="0"/>
              <w:rPr>
                <w:rFonts w:ascii="Arial" w:hAnsi="Arial" w:cs="Arial"/>
                <w:i/>
                <w:iCs/>
                <w:color w:val="3B3B3B"/>
                <w:sz w:val="18"/>
                <w:szCs w:val="18"/>
              </w:rPr>
            </w:pPr>
            <w:r w:rsidRPr="00B251A0">
              <w:rPr>
                <w:rFonts w:ascii="Arial" w:hAnsi="Arial" w:cs="Arial"/>
                <w:i/>
                <w:iCs/>
                <w:color w:val="3B3B3B"/>
                <w:sz w:val="18"/>
                <w:szCs w:val="18"/>
              </w:rPr>
              <w:t>The sources of housing supply to meet the requirement set out above include the following sites (note some sites will continue to build out beyond 2041 – see individual site sections):</w:t>
            </w:r>
          </w:p>
          <w:p w14:paraId="6EB15332" w14:textId="0B29B969" w:rsidR="00A14E83" w:rsidRPr="00B251A0" w:rsidRDefault="00A14E83" w:rsidP="00A14E83">
            <w:pPr>
              <w:spacing w:line="240" w:lineRule="auto"/>
              <w:rPr>
                <w:rFonts w:cs="Arial"/>
                <w:i/>
                <w:iCs/>
                <w:color w:val="3B3B3B"/>
                <w:sz w:val="20"/>
                <w:szCs w:val="20"/>
              </w:rPr>
            </w:pPr>
          </w:p>
          <w:p w14:paraId="5ABAA358" w14:textId="45195BA2" w:rsidR="00AE0DA3" w:rsidRPr="00B251A0" w:rsidRDefault="00AE0DA3" w:rsidP="00A14E83">
            <w:pPr>
              <w:spacing w:line="240" w:lineRule="auto"/>
              <w:rPr>
                <w:rFonts w:cs="Arial"/>
                <w:i/>
                <w:iCs/>
                <w:color w:val="3B3B3B"/>
                <w:sz w:val="20"/>
                <w:szCs w:val="20"/>
              </w:rPr>
            </w:pPr>
          </w:p>
          <w:p w14:paraId="61AE03A2" w14:textId="77777777" w:rsidR="00301933" w:rsidRPr="00B251A0" w:rsidRDefault="00301933" w:rsidP="00301933">
            <w:pPr>
              <w:pStyle w:val="ListParagraph"/>
              <w:numPr>
                <w:ilvl w:val="0"/>
                <w:numId w:val="12"/>
              </w:numPr>
              <w:shd w:val="clear" w:color="auto" w:fill="FFFFFF"/>
              <w:spacing w:line="240" w:lineRule="auto"/>
              <w:rPr>
                <w:rFonts w:cs="Arial"/>
                <w:color w:val="4472C4" w:themeColor="accent1"/>
                <w:sz w:val="20"/>
                <w:szCs w:val="20"/>
              </w:rPr>
            </w:pPr>
            <w:r w:rsidRPr="00B251A0">
              <w:rPr>
                <w:rFonts w:cs="Arial"/>
                <w:color w:val="4472C4" w:themeColor="accent1"/>
                <w:sz w:val="20"/>
                <w:szCs w:val="20"/>
              </w:rPr>
              <w:lastRenderedPageBreak/>
              <w:t>Despite being significant, the level of growth proposed is insufficient.</w:t>
            </w:r>
          </w:p>
          <w:p w14:paraId="6BCE3943" w14:textId="77777777" w:rsidR="00301933" w:rsidRPr="00B251A0" w:rsidRDefault="00301933" w:rsidP="00301933">
            <w:pPr>
              <w:pStyle w:val="ListParagraph"/>
              <w:numPr>
                <w:ilvl w:val="0"/>
                <w:numId w:val="12"/>
              </w:numPr>
              <w:shd w:val="clear" w:color="auto" w:fill="FFFFFF"/>
              <w:spacing w:line="240" w:lineRule="auto"/>
              <w:rPr>
                <w:rFonts w:cs="Arial"/>
                <w:color w:val="4472C4" w:themeColor="accent1"/>
                <w:sz w:val="20"/>
                <w:szCs w:val="20"/>
              </w:rPr>
            </w:pPr>
            <w:r w:rsidRPr="00B251A0">
              <w:rPr>
                <w:rFonts w:cs="Arial"/>
                <w:color w:val="4472C4" w:themeColor="accent1"/>
                <w:sz w:val="20"/>
                <w:szCs w:val="20"/>
              </w:rPr>
              <w:t>Through their ongoing extensive and detailed research, Cambridge Ahead (likely the foremost authority on the mater of Cambridge’s economy and growth), have concluded/demonstrated as follows with respect to the ‘First Proposals’:</w:t>
            </w:r>
          </w:p>
          <w:p w14:paraId="6177B041" w14:textId="77777777" w:rsidR="00301933" w:rsidRPr="00B251A0" w:rsidRDefault="00301933" w:rsidP="00301933">
            <w:pPr>
              <w:pStyle w:val="ListParagraph"/>
              <w:numPr>
                <w:ilvl w:val="1"/>
                <w:numId w:val="13"/>
              </w:numPr>
              <w:shd w:val="clear" w:color="auto" w:fill="FFFFFF"/>
              <w:spacing w:line="240" w:lineRule="auto"/>
              <w:rPr>
                <w:rFonts w:cs="Arial"/>
                <w:color w:val="4472C4" w:themeColor="accent1"/>
                <w:sz w:val="20"/>
                <w:szCs w:val="20"/>
              </w:rPr>
            </w:pPr>
            <w:r w:rsidRPr="00B251A0">
              <w:rPr>
                <w:rFonts w:cs="Arial"/>
                <w:color w:val="4472C4" w:themeColor="accent1"/>
                <w:sz w:val="20"/>
                <w:szCs w:val="20"/>
              </w:rPr>
              <w:t>If planned for well, higher growth rates than those proposed can be accommodated in a way that improves quality of life for existing and new residents in balance with the needs of the environment and the economy (i.e. in a sustainable way).</w:t>
            </w:r>
          </w:p>
          <w:p w14:paraId="47B1A3A0" w14:textId="77777777" w:rsidR="00301933" w:rsidRPr="00B251A0" w:rsidRDefault="00301933" w:rsidP="00301933">
            <w:pPr>
              <w:pStyle w:val="ListParagraph"/>
              <w:numPr>
                <w:ilvl w:val="1"/>
                <w:numId w:val="13"/>
              </w:numPr>
              <w:shd w:val="clear" w:color="auto" w:fill="FFFFFF"/>
              <w:spacing w:line="240" w:lineRule="auto"/>
              <w:rPr>
                <w:rFonts w:cs="Arial"/>
                <w:color w:val="4472C4" w:themeColor="accent1"/>
                <w:sz w:val="20"/>
                <w:szCs w:val="20"/>
              </w:rPr>
            </w:pPr>
            <w:r w:rsidRPr="00B251A0">
              <w:rPr>
                <w:rFonts w:cs="Arial"/>
                <w:color w:val="4472C4" w:themeColor="accent1"/>
                <w:sz w:val="20"/>
                <w:szCs w:val="20"/>
              </w:rPr>
              <w:t>The most recent growth data does not support the projections expressed in the ‘First Proposals’. This raises concerns that the Councils will again serially underestimate the opportunities that high growth creates.</w:t>
            </w:r>
          </w:p>
          <w:p w14:paraId="04DF0E31" w14:textId="77777777" w:rsidR="00301933" w:rsidRPr="00B251A0" w:rsidRDefault="00301933" w:rsidP="00301933">
            <w:pPr>
              <w:pStyle w:val="ListParagraph"/>
              <w:numPr>
                <w:ilvl w:val="1"/>
                <w:numId w:val="13"/>
              </w:numPr>
              <w:shd w:val="clear" w:color="auto" w:fill="FFFFFF"/>
              <w:spacing w:line="240" w:lineRule="auto"/>
              <w:rPr>
                <w:rFonts w:cs="Arial"/>
                <w:color w:val="4472C4" w:themeColor="accent1"/>
                <w:sz w:val="20"/>
                <w:szCs w:val="20"/>
              </w:rPr>
            </w:pPr>
            <w:r w:rsidRPr="00B251A0">
              <w:rPr>
                <w:rFonts w:cs="Arial"/>
                <w:b/>
                <w:bCs/>
                <w:color w:val="4472C4" w:themeColor="accent1"/>
                <w:sz w:val="20"/>
                <w:szCs w:val="20"/>
              </w:rPr>
              <w:t>Cambridge Ahead’s view is that the long run rates in the ‘First Proposals’ are adopting an under-estimate and do not provide the best possible objective assessment of the area’s growth.</w:t>
            </w:r>
            <w:r w:rsidRPr="00B251A0">
              <w:rPr>
                <w:rFonts w:cs="Arial"/>
                <w:color w:val="4472C4" w:themeColor="accent1"/>
                <w:sz w:val="20"/>
                <w:szCs w:val="20"/>
              </w:rPr>
              <w:t xml:space="preserve"> As a result, the </w:t>
            </w:r>
            <w:r w:rsidRPr="00B251A0">
              <w:rPr>
                <w:rFonts w:cs="Arial"/>
                <w:b/>
                <w:bCs/>
                <w:color w:val="4472C4" w:themeColor="accent1"/>
                <w:sz w:val="20"/>
                <w:szCs w:val="20"/>
              </w:rPr>
              <w:t>‘</w:t>
            </w:r>
            <w:r w:rsidRPr="00B251A0">
              <w:rPr>
                <w:rFonts w:cs="Arial"/>
                <w:color w:val="4472C4" w:themeColor="accent1"/>
                <w:sz w:val="20"/>
                <w:szCs w:val="20"/>
              </w:rPr>
              <w:t xml:space="preserve">First Proposals’ risk repeating the previous errors in the EEFM forecasts and ignoring the warnings flagged by the Cambridge Ahead’s CPIER. </w:t>
            </w:r>
          </w:p>
          <w:p w14:paraId="7C3011D7" w14:textId="77777777" w:rsidR="00301933" w:rsidRPr="00B251A0" w:rsidRDefault="00301933" w:rsidP="00301933">
            <w:pPr>
              <w:pStyle w:val="ListParagraph"/>
              <w:numPr>
                <w:ilvl w:val="1"/>
                <w:numId w:val="13"/>
              </w:numPr>
              <w:shd w:val="clear" w:color="auto" w:fill="FFFFFF"/>
              <w:spacing w:line="240" w:lineRule="auto"/>
              <w:rPr>
                <w:rFonts w:cs="Arial"/>
                <w:color w:val="4472C4" w:themeColor="accent1"/>
                <w:sz w:val="20"/>
                <w:szCs w:val="20"/>
              </w:rPr>
            </w:pPr>
            <w:r w:rsidRPr="00B251A0">
              <w:rPr>
                <w:rFonts w:cs="Arial"/>
                <w:color w:val="4472C4" w:themeColor="accent1"/>
                <w:sz w:val="20"/>
                <w:szCs w:val="20"/>
              </w:rPr>
              <w:t xml:space="preserve">The three complementary arguments underlying the recommended annualised growth scenarios for the emerging Plan – KS3/1.1%, with the possibility of the slightly higher KS2/1.5% - have clear flaws, as set out in GL Hearn’s analysis. The historical reversion to the regional mean was notably higher than the recommended figure. The reasons put forward for discounting the recent performance of the higher exogenous sectors have not provided supporting evidence and therefore lack a credible evidential basis. In addition, the suggestion that the high growth between 2011-17 was peaking and is likely to regress to a future regional or national mean has not only been unconvincingly argued, but has now been convincingly rebutted by the continued high growth of the region. </w:t>
            </w:r>
          </w:p>
          <w:p w14:paraId="5B294D1B" w14:textId="77777777" w:rsidR="00301933" w:rsidRPr="00B251A0" w:rsidRDefault="00301933" w:rsidP="00301933">
            <w:pPr>
              <w:pStyle w:val="ListParagraph"/>
              <w:numPr>
                <w:ilvl w:val="1"/>
                <w:numId w:val="13"/>
              </w:numPr>
              <w:shd w:val="clear" w:color="auto" w:fill="FFFFFF"/>
              <w:spacing w:line="240" w:lineRule="auto"/>
              <w:rPr>
                <w:rFonts w:cs="Arial"/>
                <w:color w:val="4472C4" w:themeColor="accent1"/>
                <w:sz w:val="20"/>
                <w:szCs w:val="20"/>
              </w:rPr>
            </w:pPr>
            <w:r w:rsidRPr="00B251A0">
              <w:rPr>
                <w:rFonts w:cs="Arial"/>
                <w:color w:val="4472C4" w:themeColor="accent1"/>
                <w:sz w:val="20"/>
                <w:szCs w:val="20"/>
              </w:rPr>
              <w:t>Accordingly, Cambridge Ahead do not feel that the recommended Plan annualised growth rates stand up to the test of providing an objective assessment for the region’s proposed future growth.</w:t>
            </w:r>
          </w:p>
          <w:p w14:paraId="5A7FE324" w14:textId="77777777" w:rsidR="00301933" w:rsidRPr="00B251A0" w:rsidRDefault="00301933" w:rsidP="00301933">
            <w:pPr>
              <w:pStyle w:val="ListParagraph"/>
              <w:numPr>
                <w:ilvl w:val="0"/>
                <w:numId w:val="13"/>
              </w:numPr>
              <w:shd w:val="clear" w:color="auto" w:fill="FFFFFF"/>
              <w:spacing w:line="240" w:lineRule="auto"/>
              <w:rPr>
                <w:rFonts w:cs="Arial"/>
                <w:color w:val="4472C4" w:themeColor="accent1"/>
                <w:sz w:val="20"/>
                <w:szCs w:val="20"/>
              </w:rPr>
            </w:pPr>
            <w:r w:rsidRPr="00B251A0">
              <w:rPr>
                <w:rFonts w:cs="Arial"/>
                <w:color w:val="4472C4" w:themeColor="accent1"/>
                <w:sz w:val="20"/>
                <w:szCs w:val="20"/>
              </w:rPr>
              <w:t xml:space="preserve">Having regard to Cambridge Ahead’s findings therefore, higher rates of growth not just </w:t>
            </w:r>
            <w:r w:rsidRPr="00B251A0">
              <w:rPr>
                <w:rFonts w:cs="Arial"/>
                <w:color w:val="4472C4" w:themeColor="accent1"/>
                <w:sz w:val="20"/>
                <w:szCs w:val="20"/>
                <w:u w:val="single"/>
              </w:rPr>
              <w:t>can</w:t>
            </w:r>
            <w:r w:rsidRPr="00B251A0">
              <w:rPr>
                <w:rFonts w:cs="Arial"/>
                <w:color w:val="4472C4" w:themeColor="accent1"/>
                <w:sz w:val="20"/>
                <w:szCs w:val="20"/>
              </w:rPr>
              <w:t xml:space="preserve"> be provided for (because they can be delivered sustainably) but </w:t>
            </w:r>
            <w:r w:rsidRPr="00B251A0">
              <w:rPr>
                <w:rFonts w:cs="Arial"/>
                <w:color w:val="4472C4" w:themeColor="accent1"/>
                <w:sz w:val="20"/>
                <w:szCs w:val="20"/>
                <w:u w:val="single"/>
              </w:rPr>
              <w:t>should</w:t>
            </w:r>
            <w:r w:rsidRPr="00B251A0">
              <w:rPr>
                <w:rFonts w:cs="Arial"/>
                <w:color w:val="4472C4" w:themeColor="accent1"/>
                <w:sz w:val="20"/>
                <w:szCs w:val="20"/>
              </w:rPr>
              <w:t xml:space="preserve"> be provided for (in order that the levels of growth that current trends show are most likely to occur over the plan period are catered for).</w:t>
            </w:r>
          </w:p>
          <w:p w14:paraId="7739D037" w14:textId="4EE0149A" w:rsidR="00301933" w:rsidRPr="00B251A0" w:rsidRDefault="00301933" w:rsidP="00301933">
            <w:pPr>
              <w:pStyle w:val="ListParagraph"/>
              <w:numPr>
                <w:ilvl w:val="0"/>
                <w:numId w:val="13"/>
              </w:numPr>
              <w:shd w:val="clear" w:color="auto" w:fill="FFFFFF"/>
              <w:spacing w:line="240" w:lineRule="auto"/>
              <w:rPr>
                <w:rFonts w:cs="Arial"/>
                <w:b/>
                <w:bCs/>
                <w:color w:val="4472C4" w:themeColor="accent1"/>
                <w:sz w:val="20"/>
                <w:szCs w:val="20"/>
              </w:rPr>
            </w:pPr>
            <w:r w:rsidRPr="00B251A0">
              <w:rPr>
                <w:rFonts w:cs="Arial"/>
                <w:b/>
                <w:bCs/>
                <w:color w:val="4472C4" w:themeColor="accent1"/>
                <w:sz w:val="20"/>
                <w:szCs w:val="20"/>
              </w:rPr>
              <w:t>The growth in jobs and homes proposed in the ‘First Proposals’</w:t>
            </w:r>
            <w:r w:rsidR="006B45CF" w:rsidRPr="00B251A0">
              <w:rPr>
                <w:rFonts w:cs="Arial"/>
                <w:b/>
                <w:bCs/>
                <w:color w:val="4472C4" w:themeColor="accent1"/>
                <w:sz w:val="20"/>
                <w:szCs w:val="20"/>
              </w:rPr>
              <w:t xml:space="preserve"> and subsequent drafts of the emerging local plan</w:t>
            </w:r>
            <w:r w:rsidRPr="00B251A0">
              <w:rPr>
                <w:rFonts w:cs="Arial"/>
                <w:b/>
                <w:bCs/>
                <w:color w:val="4472C4" w:themeColor="accent1"/>
                <w:sz w:val="20"/>
                <w:szCs w:val="20"/>
              </w:rPr>
              <w:t xml:space="preserve"> should therefore be increased to the higher jobs and homes scenario (the ‘Maximum continue existing patterns’ scenario - 78,000 jobs and 53,500 homes).</w:t>
            </w:r>
          </w:p>
          <w:p w14:paraId="78DD2892" w14:textId="576A5742" w:rsidR="00AE0DA3" w:rsidRPr="00B251A0" w:rsidRDefault="00AE0DA3" w:rsidP="00A14E83">
            <w:pPr>
              <w:spacing w:line="240" w:lineRule="auto"/>
              <w:rPr>
                <w:rFonts w:cs="Arial"/>
                <w:i/>
                <w:iCs/>
                <w:color w:val="3B3B3B"/>
                <w:sz w:val="20"/>
                <w:szCs w:val="20"/>
              </w:rPr>
            </w:pPr>
          </w:p>
          <w:p w14:paraId="25A2604F" w14:textId="77777777" w:rsidR="00AE0DA3" w:rsidRPr="00B251A0" w:rsidRDefault="00AE0DA3" w:rsidP="00A14E83">
            <w:pPr>
              <w:spacing w:line="240" w:lineRule="auto"/>
              <w:rPr>
                <w:rFonts w:cs="Arial"/>
                <w:i/>
                <w:iCs/>
                <w:color w:val="3B3B3B"/>
                <w:sz w:val="20"/>
                <w:szCs w:val="20"/>
              </w:rPr>
            </w:pPr>
          </w:p>
          <w:tbl>
            <w:tblPr>
              <w:tblW w:w="56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1439"/>
              <w:gridCol w:w="2559"/>
              <w:gridCol w:w="1672"/>
            </w:tblGrid>
            <w:tr w:rsidR="00A14E83" w:rsidRPr="00B251A0" w14:paraId="0F6B5425" w14:textId="77777777" w:rsidTr="00A14E83">
              <w:trPr>
                <w:trHeight w:val="435"/>
              </w:trPr>
              <w:tc>
                <w:tcPr>
                  <w:tcW w:w="0" w:type="auto"/>
                  <w:shd w:val="clear" w:color="auto" w:fill="D9D9D9"/>
                  <w:tcMar>
                    <w:top w:w="15" w:type="dxa"/>
                    <w:left w:w="0" w:type="dxa"/>
                    <w:bottom w:w="15" w:type="dxa"/>
                    <w:right w:w="105" w:type="dxa"/>
                  </w:tcMar>
                  <w:hideMark/>
                </w:tcPr>
                <w:p w14:paraId="4F0B4E30" w14:textId="77777777" w:rsidR="00A14E83" w:rsidRPr="00B251A0" w:rsidRDefault="00A14E83" w:rsidP="00A14E83">
                  <w:pPr>
                    <w:pStyle w:val="NormalWeb"/>
                    <w:spacing w:before="0" w:beforeAutospacing="0" w:after="0" w:afterAutospacing="0"/>
                    <w:ind w:left="45"/>
                    <w:rPr>
                      <w:b/>
                      <w:bCs/>
                      <w:i/>
                      <w:iCs/>
                      <w:sz w:val="18"/>
                      <w:szCs w:val="18"/>
                    </w:rPr>
                  </w:pPr>
                  <w:r w:rsidRPr="00B251A0">
                    <w:rPr>
                      <w:rFonts w:ascii="Arial" w:hAnsi="Arial" w:cs="Arial"/>
                      <w:b/>
                      <w:bCs/>
                      <w:i/>
                      <w:iCs/>
                      <w:color w:val="4472C4"/>
                      <w:sz w:val="18"/>
                      <w:szCs w:val="18"/>
                    </w:rPr>
                    <w:t>Location</w:t>
                  </w:r>
                </w:p>
              </w:tc>
              <w:tc>
                <w:tcPr>
                  <w:tcW w:w="2559" w:type="dxa"/>
                  <w:shd w:val="clear" w:color="auto" w:fill="D9D9D9"/>
                  <w:tcMar>
                    <w:top w:w="15" w:type="dxa"/>
                    <w:left w:w="0" w:type="dxa"/>
                    <w:bottom w:w="15" w:type="dxa"/>
                    <w:right w:w="105" w:type="dxa"/>
                  </w:tcMar>
                  <w:hideMark/>
                </w:tcPr>
                <w:p w14:paraId="7FC3597B" w14:textId="77777777" w:rsidR="00A14E83" w:rsidRPr="00B251A0" w:rsidRDefault="00A14E83" w:rsidP="00A14E83">
                  <w:pPr>
                    <w:pStyle w:val="NormalWeb"/>
                    <w:spacing w:before="0" w:beforeAutospacing="0" w:after="0" w:afterAutospacing="0"/>
                    <w:ind w:left="45"/>
                    <w:rPr>
                      <w:i/>
                      <w:iCs/>
                      <w:sz w:val="18"/>
                      <w:szCs w:val="18"/>
                    </w:rPr>
                  </w:pPr>
                  <w:r w:rsidRPr="00B251A0">
                    <w:rPr>
                      <w:rFonts w:ascii="Arial" w:hAnsi="Arial" w:cs="Arial"/>
                      <w:b/>
                      <w:bCs/>
                      <w:i/>
                      <w:iCs/>
                      <w:color w:val="4472C4"/>
                      <w:sz w:val="18"/>
                      <w:szCs w:val="18"/>
                    </w:rPr>
                    <w:t>Policy reference / Site name</w:t>
                  </w:r>
                </w:p>
              </w:tc>
              <w:tc>
                <w:tcPr>
                  <w:tcW w:w="1672" w:type="dxa"/>
                  <w:shd w:val="clear" w:color="auto" w:fill="D9D9D9"/>
                  <w:tcMar>
                    <w:top w:w="15" w:type="dxa"/>
                    <w:left w:w="0" w:type="dxa"/>
                    <w:bottom w:w="15" w:type="dxa"/>
                    <w:right w:w="105" w:type="dxa"/>
                  </w:tcMar>
                  <w:hideMark/>
                </w:tcPr>
                <w:p w14:paraId="044CBFEB" w14:textId="77777777" w:rsidR="00A14E83" w:rsidRPr="00B251A0" w:rsidRDefault="00A14E83" w:rsidP="00A14E83">
                  <w:pPr>
                    <w:pStyle w:val="NormalWeb"/>
                    <w:spacing w:before="0" w:beforeAutospacing="0" w:after="0" w:afterAutospacing="0"/>
                    <w:jc w:val="center"/>
                    <w:rPr>
                      <w:i/>
                      <w:iCs/>
                      <w:sz w:val="18"/>
                      <w:szCs w:val="18"/>
                    </w:rPr>
                  </w:pPr>
                  <w:r w:rsidRPr="00B251A0">
                    <w:rPr>
                      <w:rFonts w:ascii="Arial" w:hAnsi="Arial" w:cs="Arial"/>
                      <w:b/>
                      <w:bCs/>
                      <w:i/>
                      <w:iCs/>
                      <w:color w:val="4472C4"/>
                      <w:sz w:val="18"/>
                      <w:szCs w:val="18"/>
                    </w:rPr>
                    <w:t>Homes 2020</w:t>
                  </w:r>
                  <w:r w:rsidRPr="00B251A0">
                    <w:rPr>
                      <w:rFonts w:ascii="Arial" w:hAnsi="Arial" w:cs="Arial"/>
                      <w:b/>
                      <w:bCs/>
                      <w:i/>
                      <w:iCs/>
                      <w:color w:val="4472C4"/>
                      <w:sz w:val="18"/>
                      <w:szCs w:val="18"/>
                    </w:rPr>
                    <w:noBreakHyphen/>
                    <w:t>2041</w:t>
                  </w:r>
                </w:p>
              </w:tc>
            </w:tr>
            <w:tr w:rsidR="00A14E83" w:rsidRPr="00B251A0" w14:paraId="4AC40C82" w14:textId="77777777" w:rsidTr="00A14E83">
              <w:trPr>
                <w:trHeight w:val="435"/>
              </w:trPr>
              <w:tc>
                <w:tcPr>
                  <w:tcW w:w="0" w:type="auto"/>
                  <w:shd w:val="clear" w:color="auto" w:fill="auto"/>
                  <w:tcMar>
                    <w:top w:w="15" w:type="dxa"/>
                    <w:left w:w="0" w:type="dxa"/>
                    <w:bottom w:w="15" w:type="dxa"/>
                    <w:right w:w="105" w:type="dxa"/>
                  </w:tcMar>
                </w:tcPr>
                <w:p w14:paraId="6B8FA88B" w14:textId="52243227" w:rsidR="00A14E83" w:rsidRPr="00B251A0" w:rsidRDefault="00A14E83" w:rsidP="00A14E83">
                  <w:pPr>
                    <w:pStyle w:val="NormalWeb"/>
                    <w:spacing w:before="0" w:beforeAutospacing="0" w:after="0" w:afterAutospacing="0"/>
                    <w:ind w:left="45"/>
                    <w:rPr>
                      <w:rFonts w:ascii="Arial" w:hAnsi="Arial" w:cs="Arial"/>
                      <w:i/>
                      <w:iCs/>
                      <w:color w:val="4472C4"/>
                      <w:sz w:val="18"/>
                      <w:szCs w:val="18"/>
                    </w:rPr>
                  </w:pPr>
                  <w:r w:rsidRPr="00B251A0">
                    <w:rPr>
                      <w:rFonts w:ascii="Arial" w:hAnsi="Arial" w:cs="Arial"/>
                      <w:i/>
                      <w:iCs/>
                      <w:sz w:val="18"/>
                      <w:szCs w:val="18"/>
                    </w:rPr>
                    <w:t>New settlements</w:t>
                  </w:r>
                </w:p>
              </w:tc>
              <w:tc>
                <w:tcPr>
                  <w:tcW w:w="2559" w:type="dxa"/>
                  <w:shd w:val="clear" w:color="auto" w:fill="auto"/>
                  <w:tcMar>
                    <w:top w:w="15" w:type="dxa"/>
                    <w:left w:w="0" w:type="dxa"/>
                    <w:bottom w:w="15" w:type="dxa"/>
                    <w:right w:w="105" w:type="dxa"/>
                  </w:tcMar>
                </w:tcPr>
                <w:p w14:paraId="0141CAA5" w14:textId="417784BB" w:rsidR="00A14E83" w:rsidRPr="00B251A0" w:rsidRDefault="00A14E83" w:rsidP="00A14E83">
                  <w:pPr>
                    <w:pStyle w:val="NormalWeb"/>
                    <w:spacing w:before="0" w:beforeAutospacing="0" w:after="0" w:afterAutospacing="0"/>
                    <w:ind w:left="45"/>
                    <w:rPr>
                      <w:rFonts w:ascii="Arial" w:hAnsi="Arial" w:cs="Arial"/>
                      <w:b/>
                      <w:bCs/>
                      <w:i/>
                      <w:iCs/>
                      <w:color w:val="4472C4"/>
                      <w:sz w:val="18"/>
                      <w:szCs w:val="18"/>
                    </w:rPr>
                  </w:pPr>
                  <w:r w:rsidRPr="00B251A0">
                    <w:rPr>
                      <w:rFonts w:ascii="Arial" w:hAnsi="Arial" w:cs="Arial"/>
                      <w:i/>
                      <w:iCs/>
                      <w:sz w:val="18"/>
                      <w:szCs w:val="18"/>
                    </w:rPr>
                    <w:t>S/CB Cambourne</w:t>
                  </w:r>
                </w:p>
              </w:tc>
              <w:tc>
                <w:tcPr>
                  <w:tcW w:w="1672" w:type="dxa"/>
                  <w:shd w:val="clear" w:color="auto" w:fill="auto"/>
                  <w:tcMar>
                    <w:top w:w="15" w:type="dxa"/>
                    <w:left w:w="0" w:type="dxa"/>
                    <w:bottom w:w="15" w:type="dxa"/>
                    <w:right w:w="105" w:type="dxa"/>
                  </w:tcMar>
                </w:tcPr>
                <w:p w14:paraId="5407D004" w14:textId="2724B647" w:rsidR="00A14E83" w:rsidRPr="00B251A0" w:rsidRDefault="00A14E83" w:rsidP="00A14E83">
                  <w:pPr>
                    <w:pStyle w:val="NormalWeb"/>
                    <w:spacing w:before="0" w:beforeAutospacing="0" w:after="0" w:afterAutospacing="0"/>
                    <w:jc w:val="center"/>
                    <w:rPr>
                      <w:rFonts w:ascii="Arial" w:hAnsi="Arial" w:cs="Arial"/>
                      <w:b/>
                      <w:bCs/>
                      <w:i/>
                      <w:iCs/>
                      <w:color w:val="4472C4"/>
                      <w:sz w:val="18"/>
                      <w:szCs w:val="18"/>
                    </w:rPr>
                  </w:pPr>
                  <w:bookmarkStart w:id="0" w:name="_Hlk80708325"/>
                  <w:r w:rsidRPr="00B251A0">
                    <w:rPr>
                      <w:rFonts w:ascii="Arial" w:hAnsi="Arial" w:cs="Arial"/>
                      <w:i/>
                      <w:iCs/>
                      <w:sz w:val="18"/>
                      <w:szCs w:val="18"/>
                    </w:rPr>
                    <w:t>1,950</w:t>
                  </w:r>
                  <w:bookmarkEnd w:id="0"/>
                </w:p>
              </w:tc>
            </w:tr>
          </w:tbl>
          <w:p w14:paraId="39A12FFF" w14:textId="768BF2CC" w:rsidR="001C5B1C" w:rsidRPr="00B251A0" w:rsidRDefault="001C5B1C" w:rsidP="00A14E83">
            <w:pPr>
              <w:spacing w:line="240" w:lineRule="auto"/>
              <w:rPr>
                <w:rFonts w:cs="Arial"/>
                <w:i/>
                <w:iCs/>
                <w:color w:val="3B3B3B"/>
                <w:sz w:val="20"/>
                <w:szCs w:val="20"/>
              </w:rPr>
            </w:pPr>
          </w:p>
          <w:p w14:paraId="08162D8A" w14:textId="4EDB31AB" w:rsidR="00357F50" w:rsidRPr="00B251A0" w:rsidRDefault="00357F50" w:rsidP="008326AE">
            <w:pPr>
              <w:pStyle w:val="ListParagraph"/>
              <w:numPr>
                <w:ilvl w:val="0"/>
                <w:numId w:val="23"/>
              </w:numPr>
              <w:spacing w:line="240" w:lineRule="auto"/>
              <w:rPr>
                <w:rFonts w:cs="Arial"/>
                <w:color w:val="4472C4" w:themeColor="accent1"/>
                <w:sz w:val="20"/>
                <w:szCs w:val="20"/>
              </w:rPr>
            </w:pPr>
            <w:r w:rsidRPr="00B251A0">
              <w:rPr>
                <w:rFonts w:cs="Arial"/>
                <w:color w:val="4472C4" w:themeColor="accent1"/>
                <w:sz w:val="20"/>
                <w:szCs w:val="20"/>
              </w:rPr>
              <w:t>New housing along the A428</w:t>
            </w:r>
            <w:r w:rsidR="00301933" w:rsidRPr="00B251A0">
              <w:rPr>
                <w:rFonts w:cs="Arial"/>
                <w:color w:val="4472C4" w:themeColor="accent1"/>
                <w:sz w:val="20"/>
                <w:szCs w:val="20"/>
              </w:rPr>
              <w:t>/E-W Rail/OxCam Arc</w:t>
            </w:r>
            <w:r w:rsidRPr="00B251A0">
              <w:rPr>
                <w:rFonts w:cs="Arial"/>
                <w:color w:val="4472C4" w:themeColor="accent1"/>
                <w:sz w:val="20"/>
                <w:szCs w:val="20"/>
              </w:rPr>
              <w:t xml:space="preserve"> corridor should not be allocated to Cambourne alone.</w:t>
            </w:r>
          </w:p>
          <w:p w14:paraId="480CED61" w14:textId="1720B12D" w:rsidR="00357F50" w:rsidRPr="00B251A0" w:rsidRDefault="00357F50" w:rsidP="008326AE">
            <w:pPr>
              <w:pStyle w:val="ListParagraph"/>
              <w:numPr>
                <w:ilvl w:val="0"/>
                <w:numId w:val="23"/>
              </w:numPr>
              <w:spacing w:line="240" w:lineRule="auto"/>
              <w:rPr>
                <w:rFonts w:cs="Arial"/>
                <w:color w:val="4472C4" w:themeColor="accent1"/>
                <w:sz w:val="20"/>
                <w:szCs w:val="20"/>
              </w:rPr>
            </w:pPr>
            <w:r w:rsidRPr="00B251A0">
              <w:rPr>
                <w:rFonts w:cs="Arial"/>
                <w:color w:val="4472C4" w:themeColor="accent1"/>
                <w:sz w:val="20"/>
                <w:szCs w:val="20"/>
              </w:rPr>
              <w:t xml:space="preserve">Papworth Everard provides an excellent location for new housing and relates equally well to the </w:t>
            </w:r>
            <w:r w:rsidR="00301933" w:rsidRPr="00B251A0">
              <w:rPr>
                <w:rFonts w:cs="Arial"/>
                <w:color w:val="4472C4" w:themeColor="accent1"/>
                <w:sz w:val="20"/>
                <w:szCs w:val="20"/>
              </w:rPr>
              <w:t>A428/E-W Rail/OxCam Arc corridor</w:t>
            </w:r>
            <w:r w:rsidRPr="00B251A0">
              <w:rPr>
                <w:rFonts w:cs="Arial"/>
                <w:color w:val="4472C4" w:themeColor="accent1"/>
                <w:sz w:val="20"/>
                <w:szCs w:val="20"/>
              </w:rPr>
              <w:t>.</w:t>
            </w:r>
          </w:p>
          <w:p w14:paraId="02F9865F" w14:textId="5C87ED32" w:rsidR="00357F50" w:rsidRPr="00B251A0" w:rsidRDefault="00357F50" w:rsidP="008326AE">
            <w:pPr>
              <w:pStyle w:val="ListParagraph"/>
              <w:numPr>
                <w:ilvl w:val="0"/>
                <w:numId w:val="23"/>
              </w:numPr>
              <w:spacing w:line="240" w:lineRule="auto"/>
              <w:rPr>
                <w:rFonts w:cs="Arial"/>
                <w:color w:val="4472C4" w:themeColor="accent1"/>
                <w:sz w:val="20"/>
                <w:szCs w:val="20"/>
              </w:rPr>
            </w:pPr>
            <w:r w:rsidRPr="00B251A0">
              <w:rPr>
                <w:rFonts w:cs="Arial"/>
                <w:color w:val="4472C4" w:themeColor="accent1"/>
                <w:sz w:val="20"/>
                <w:szCs w:val="20"/>
              </w:rPr>
              <w:t>Allocating land at Papworth Everard for housing would provide:</w:t>
            </w:r>
          </w:p>
          <w:p w14:paraId="3A511915" w14:textId="2DE948F6" w:rsidR="00357F50" w:rsidRPr="00B251A0" w:rsidRDefault="00357F50" w:rsidP="00301933">
            <w:pPr>
              <w:pStyle w:val="ListParagraph"/>
              <w:numPr>
                <w:ilvl w:val="1"/>
                <w:numId w:val="34"/>
              </w:numPr>
              <w:spacing w:line="240" w:lineRule="auto"/>
              <w:rPr>
                <w:rFonts w:cs="Arial"/>
                <w:color w:val="4472C4" w:themeColor="accent1"/>
                <w:sz w:val="20"/>
                <w:szCs w:val="20"/>
              </w:rPr>
            </w:pPr>
            <w:r w:rsidRPr="00B251A0">
              <w:rPr>
                <w:rFonts w:cs="Arial"/>
                <w:color w:val="4472C4" w:themeColor="accent1"/>
                <w:sz w:val="20"/>
                <w:szCs w:val="20"/>
              </w:rPr>
              <w:t xml:space="preserve">Greater choice in terms of the </w:t>
            </w:r>
            <w:r w:rsidRPr="00B251A0">
              <w:rPr>
                <w:rFonts w:eastAsia="Times New Roman" w:cs="Arial"/>
                <w:color w:val="4472C4" w:themeColor="accent1"/>
                <w:kern w:val="36"/>
                <w:sz w:val="20"/>
                <w:szCs w:val="20"/>
                <w:lang w:eastAsia="en-GB"/>
              </w:rPr>
              <w:t>location, size, type and tenure of housing that the plan can offer.</w:t>
            </w:r>
          </w:p>
          <w:p w14:paraId="1D422568" w14:textId="73782EDC" w:rsidR="00357F50" w:rsidRPr="00B251A0" w:rsidRDefault="00357F50" w:rsidP="004E3D2C">
            <w:pPr>
              <w:pStyle w:val="ListParagraph"/>
              <w:numPr>
                <w:ilvl w:val="1"/>
                <w:numId w:val="34"/>
              </w:numPr>
              <w:spacing w:line="240" w:lineRule="auto"/>
              <w:rPr>
                <w:rFonts w:cs="Arial"/>
                <w:color w:val="4472C4" w:themeColor="accent1"/>
                <w:sz w:val="20"/>
                <w:szCs w:val="20"/>
              </w:rPr>
            </w:pPr>
            <w:r w:rsidRPr="00B251A0">
              <w:rPr>
                <w:rFonts w:cs="Arial"/>
                <w:color w:val="4472C4" w:themeColor="accent1"/>
                <w:sz w:val="20"/>
                <w:szCs w:val="20"/>
              </w:rPr>
              <w:t>Greater flexibility and resilience in this a</w:t>
            </w:r>
            <w:r w:rsidR="004E3D2C" w:rsidRPr="00B251A0">
              <w:rPr>
                <w:rFonts w:cs="Arial"/>
                <w:color w:val="4472C4" w:themeColor="accent1"/>
                <w:sz w:val="20"/>
                <w:szCs w:val="20"/>
              </w:rPr>
              <w:t>spect</w:t>
            </w:r>
            <w:r w:rsidRPr="00B251A0">
              <w:rPr>
                <w:rFonts w:cs="Arial"/>
                <w:color w:val="4472C4" w:themeColor="accent1"/>
                <w:sz w:val="20"/>
                <w:szCs w:val="20"/>
              </w:rPr>
              <w:t xml:space="preserve"> of the Councils’ housing/development strategy.</w:t>
            </w:r>
          </w:p>
          <w:p w14:paraId="55C15C4D" w14:textId="77777777" w:rsidR="006E727B" w:rsidRPr="00B251A0" w:rsidRDefault="006E727B" w:rsidP="00A14E83">
            <w:pPr>
              <w:spacing w:line="240" w:lineRule="auto"/>
              <w:rPr>
                <w:rFonts w:cs="Arial"/>
                <w:i/>
                <w:iCs/>
                <w:color w:val="3B3B3B"/>
                <w:sz w:val="20"/>
                <w:szCs w:val="20"/>
              </w:rPr>
            </w:pPr>
          </w:p>
          <w:p w14:paraId="606F7AF3" w14:textId="65A37F9D" w:rsidR="001C5B1C" w:rsidRPr="00B251A0" w:rsidRDefault="001C5B1C" w:rsidP="00A14E83">
            <w:pPr>
              <w:spacing w:line="240" w:lineRule="auto"/>
              <w:rPr>
                <w:rFonts w:cs="Arial"/>
                <w:i/>
                <w:iCs/>
                <w:color w:val="3B3B3B"/>
                <w:sz w:val="20"/>
                <w:szCs w:val="20"/>
              </w:rPr>
            </w:pPr>
          </w:p>
          <w:p w14:paraId="5784ABA4" w14:textId="71554634" w:rsidR="00C04E64" w:rsidRPr="00B251A0" w:rsidRDefault="00C04E64" w:rsidP="00A14E83">
            <w:pPr>
              <w:pStyle w:val="Heading2"/>
              <w:shd w:val="clear" w:color="auto" w:fill="FFFFFF"/>
              <w:spacing w:before="0" w:after="0" w:line="240" w:lineRule="auto"/>
              <w:rPr>
                <w:rFonts w:eastAsiaTheme="minorHAnsi" w:cs="Arial"/>
                <w:bCs/>
                <w:i/>
                <w:iCs/>
                <w:color w:val="3B3B3B"/>
                <w:sz w:val="20"/>
                <w:szCs w:val="20"/>
              </w:rPr>
            </w:pPr>
            <w:r w:rsidRPr="00B251A0">
              <w:rPr>
                <w:rFonts w:eastAsiaTheme="minorHAnsi" w:cs="Arial"/>
                <w:bCs/>
                <w:i/>
                <w:iCs/>
                <w:color w:val="3B3B3B"/>
                <w:sz w:val="20"/>
                <w:szCs w:val="20"/>
              </w:rPr>
              <w:t>What alternatives did we consider?</w:t>
            </w:r>
          </w:p>
          <w:p w14:paraId="26B70D44" w14:textId="1F11CD4F" w:rsidR="00C04E64" w:rsidRPr="00B251A0" w:rsidRDefault="00C04E64" w:rsidP="00A14E83">
            <w:pPr>
              <w:spacing w:line="240" w:lineRule="auto"/>
              <w:rPr>
                <w:rFonts w:cs="Arial"/>
                <w:i/>
                <w:iCs/>
                <w:color w:val="3B3B3B"/>
                <w:sz w:val="20"/>
                <w:szCs w:val="20"/>
              </w:rPr>
            </w:pPr>
          </w:p>
          <w:p w14:paraId="08FE21C0" w14:textId="1DF2A331" w:rsidR="00C04E64" w:rsidRPr="00B251A0" w:rsidRDefault="00C04E64" w:rsidP="00A14E83">
            <w:pPr>
              <w:spacing w:line="240" w:lineRule="auto"/>
              <w:rPr>
                <w:rFonts w:cs="Arial"/>
                <w:i/>
                <w:iCs/>
                <w:color w:val="3B3B3B"/>
                <w:sz w:val="20"/>
                <w:szCs w:val="20"/>
              </w:rPr>
            </w:pPr>
          </w:p>
          <w:p w14:paraId="2E1F6C5D" w14:textId="2E33A180" w:rsidR="00C04E64" w:rsidRPr="00B251A0" w:rsidRDefault="00C04E64" w:rsidP="00A14E83">
            <w:pPr>
              <w:pStyle w:val="NormalWeb"/>
              <w:shd w:val="clear" w:color="auto" w:fill="FFFFFF"/>
              <w:spacing w:before="0" w:beforeAutospacing="0" w:after="0" w:afterAutospacing="0"/>
              <w:rPr>
                <w:rFonts w:ascii="Arial" w:eastAsiaTheme="minorHAnsi" w:hAnsi="Arial" w:cs="Arial"/>
                <w:i/>
                <w:iCs/>
                <w:color w:val="3B3B3B"/>
                <w:sz w:val="20"/>
                <w:szCs w:val="20"/>
                <w:lang w:eastAsia="en-US"/>
              </w:rPr>
            </w:pPr>
            <w:r w:rsidRPr="00B251A0">
              <w:rPr>
                <w:rFonts w:ascii="Arial" w:eastAsiaTheme="minorHAnsi" w:hAnsi="Arial" w:cs="Arial"/>
                <w:i/>
                <w:iCs/>
                <w:color w:val="3B3B3B"/>
                <w:sz w:val="20"/>
                <w:szCs w:val="20"/>
                <w:lang w:eastAsia="en-US"/>
              </w:rPr>
              <w:t>“… Our evidence showed that these performed well against our core evidence and better than most other alternative options when considered against key aims of: </w:t>
            </w:r>
          </w:p>
          <w:p w14:paraId="068CEF00" w14:textId="77777777" w:rsidR="00C04E64" w:rsidRPr="00B251A0" w:rsidRDefault="00C04E64" w:rsidP="008326AE">
            <w:pPr>
              <w:numPr>
                <w:ilvl w:val="0"/>
                <w:numId w:val="23"/>
              </w:numPr>
              <w:shd w:val="clear" w:color="auto" w:fill="FFFFFF"/>
              <w:spacing w:line="240" w:lineRule="auto"/>
              <w:rPr>
                <w:rFonts w:cs="Arial"/>
                <w:i/>
                <w:iCs/>
                <w:color w:val="3B3B3B"/>
                <w:sz w:val="20"/>
                <w:szCs w:val="20"/>
              </w:rPr>
            </w:pPr>
            <w:r w:rsidRPr="00B251A0">
              <w:rPr>
                <w:rFonts w:cs="Arial"/>
                <w:i/>
                <w:iCs/>
                <w:color w:val="3B3B3B"/>
                <w:sz w:val="20"/>
                <w:szCs w:val="20"/>
              </w:rPr>
              <w:t>Reducing climate impacts through compact development located to connect homes and jobs, and where active and sustainable travel can be maximised; </w:t>
            </w:r>
          </w:p>
          <w:p w14:paraId="67B98F5A" w14:textId="77777777" w:rsidR="00C04E64" w:rsidRPr="00B251A0" w:rsidRDefault="00C04E64" w:rsidP="008326AE">
            <w:pPr>
              <w:numPr>
                <w:ilvl w:val="0"/>
                <w:numId w:val="23"/>
              </w:numPr>
              <w:shd w:val="clear" w:color="auto" w:fill="FFFFFF"/>
              <w:spacing w:line="240" w:lineRule="auto"/>
              <w:rPr>
                <w:rFonts w:cs="Arial"/>
                <w:i/>
                <w:iCs/>
                <w:color w:val="3B3B3B"/>
                <w:sz w:val="20"/>
                <w:szCs w:val="20"/>
              </w:rPr>
            </w:pPr>
            <w:r w:rsidRPr="00B251A0">
              <w:rPr>
                <w:rFonts w:cs="Arial"/>
                <w:i/>
                <w:iCs/>
                <w:color w:val="3B3B3B"/>
                <w:sz w:val="20"/>
                <w:szCs w:val="20"/>
              </w:rPr>
              <w:t>Making best use of suitable safeguarded and brownfield land;</w:t>
            </w:r>
          </w:p>
          <w:p w14:paraId="54BD68AB" w14:textId="77777777" w:rsidR="00C04E64" w:rsidRPr="00B251A0" w:rsidRDefault="00C04E64" w:rsidP="008326AE">
            <w:pPr>
              <w:numPr>
                <w:ilvl w:val="0"/>
                <w:numId w:val="23"/>
              </w:numPr>
              <w:shd w:val="clear" w:color="auto" w:fill="FFFFFF"/>
              <w:spacing w:line="240" w:lineRule="auto"/>
              <w:rPr>
                <w:rFonts w:cs="Arial"/>
                <w:i/>
                <w:iCs/>
                <w:color w:val="3B3B3B"/>
                <w:sz w:val="20"/>
                <w:szCs w:val="20"/>
              </w:rPr>
            </w:pPr>
            <w:r w:rsidRPr="00B251A0">
              <w:rPr>
                <w:rFonts w:cs="Arial"/>
                <w:i/>
                <w:iCs/>
                <w:color w:val="3B3B3B"/>
                <w:sz w:val="20"/>
                <w:szCs w:val="20"/>
              </w:rPr>
              <w:t>Making best use of existing and committed key sustainable transport infrastructure; and</w:t>
            </w:r>
          </w:p>
          <w:p w14:paraId="016538C0" w14:textId="0DF3AADA" w:rsidR="00C04E64" w:rsidRPr="00B251A0" w:rsidRDefault="00C04E64" w:rsidP="008326AE">
            <w:pPr>
              <w:numPr>
                <w:ilvl w:val="0"/>
                <w:numId w:val="23"/>
              </w:numPr>
              <w:shd w:val="clear" w:color="auto" w:fill="FFFFFF"/>
              <w:spacing w:line="240" w:lineRule="auto"/>
              <w:rPr>
                <w:rFonts w:cs="Arial"/>
                <w:i/>
                <w:iCs/>
                <w:color w:val="3B3B3B"/>
                <w:sz w:val="20"/>
                <w:szCs w:val="20"/>
              </w:rPr>
            </w:pPr>
            <w:r w:rsidRPr="00B251A0">
              <w:rPr>
                <w:rFonts w:cs="Arial"/>
                <w:i/>
                <w:iCs/>
                <w:color w:val="3B3B3B"/>
                <w:sz w:val="20"/>
                <w:szCs w:val="20"/>
              </w:rPr>
              <w:t>Supporting rural communities to thrive and sustain services.”</w:t>
            </w:r>
          </w:p>
          <w:p w14:paraId="57EE13DB" w14:textId="637CAE45" w:rsidR="00C04E64" w:rsidRPr="00B251A0" w:rsidRDefault="00C04E64" w:rsidP="00C04E64">
            <w:pPr>
              <w:shd w:val="clear" w:color="auto" w:fill="FFFFFF"/>
              <w:spacing w:line="240" w:lineRule="auto"/>
              <w:rPr>
                <w:rFonts w:cs="Arial"/>
                <w:i/>
                <w:iCs/>
                <w:color w:val="3B3B3B"/>
                <w:sz w:val="20"/>
                <w:szCs w:val="20"/>
              </w:rPr>
            </w:pPr>
          </w:p>
          <w:p w14:paraId="4136749E" w14:textId="70CDB034" w:rsidR="00C04E64" w:rsidRPr="00B251A0" w:rsidRDefault="001E41FC" w:rsidP="00C04E64">
            <w:pPr>
              <w:shd w:val="clear" w:color="auto" w:fill="FFFFFF"/>
              <w:spacing w:line="240" w:lineRule="auto"/>
              <w:rPr>
                <w:rFonts w:cs="Arial"/>
                <w:i/>
                <w:iCs/>
                <w:color w:val="3B3B3B"/>
                <w:sz w:val="20"/>
                <w:szCs w:val="20"/>
              </w:rPr>
            </w:pPr>
            <w:r w:rsidRPr="00B251A0">
              <w:rPr>
                <w:rFonts w:cs="Arial"/>
                <w:i/>
                <w:iCs/>
                <w:color w:val="3B3B3B"/>
                <w:sz w:val="20"/>
                <w:szCs w:val="20"/>
              </w:rPr>
              <w:t>“Consideration was given to the provision of a range of sizes and types of sites to give flexibility and help with delivery over the plan period, reflecting our evidence, and a modest element of housing was in principle considered to be an appropriate element of the strategy. Drawing on our evidence, a wide range of sites were considered but many were not preferred due to their impacts, with only a limited number of sites being preferred in Cambridge, close to centres of employment in the southern cluster, and in villages well served by public transport in the rest of the rural area. Allocating large numbers of sites in villages was not a preferred approach, as evidence demonstrated how poorly dispersed strategy performed with regard to a number of issues, but particularly in relation to transport and carbon impacts.”</w:t>
            </w:r>
          </w:p>
          <w:p w14:paraId="6D5E470D" w14:textId="54D8A80C" w:rsidR="001E41FC" w:rsidRPr="00B251A0" w:rsidRDefault="001E41FC" w:rsidP="00C04E64">
            <w:pPr>
              <w:shd w:val="clear" w:color="auto" w:fill="FFFFFF"/>
              <w:spacing w:line="240" w:lineRule="auto"/>
              <w:rPr>
                <w:rFonts w:cs="Arial"/>
                <w:i/>
                <w:iCs/>
                <w:color w:val="3B3B3B"/>
                <w:sz w:val="20"/>
                <w:szCs w:val="20"/>
              </w:rPr>
            </w:pPr>
          </w:p>
          <w:p w14:paraId="16B3A49C" w14:textId="4794E9BE" w:rsidR="001E41FC" w:rsidRPr="00B251A0" w:rsidRDefault="001E41FC" w:rsidP="00C04E64">
            <w:pPr>
              <w:shd w:val="clear" w:color="auto" w:fill="FFFFFF"/>
              <w:spacing w:line="240" w:lineRule="auto"/>
              <w:rPr>
                <w:rFonts w:cs="Arial"/>
                <w:color w:val="3B3B3B"/>
                <w:sz w:val="20"/>
                <w:szCs w:val="20"/>
              </w:rPr>
            </w:pPr>
          </w:p>
          <w:p w14:paraId="713360CA" w14:textId="193CD0AF" w:rsidR="008326AE" w:rsidRPr="00B251A0" w:rsidRDefault="008326AE" w:rsidP="008326AE">
            <w:pPr>
              <w:numPr>
                <w:ilvl w:val="0"/>
                <w:numId w:val="23"/>
              </w:numPr>
              <w:shd w:val="clear" w:color="auto" w:fill="FFFFFF"/>
              <w:spacing w:line="240" w:lineRule="auto"/>
              <w:rPr>
                <w:rFonts w:eastAsia="Times New Roman" w:cs="Arial"/>
                <w:color w:val="4472C4" w:themeColor="accent1"/>
                <w:kern w:val="36"/>
                <w:sz w:val="20"/>
                <w:szCs w:val="20"/>
                <w:lang w:eastAsia="en-GB"/>
              </w:rPr>
            </w:pPr>
            <w:r w:rsidRPr="00B251A0">
              <w:rPr>
                <w:rFonts w:eastAsia="Times New Roman" w:cs="Arial"/>
                <w:color w:val="4472C4" w:themeColor="accent1"/>
                <w:kern w:val="36"/>
                <w:sz w:val="20"/>
                <w:szCs w:val="20"/>
                <w:lang w:eastAsia="en-GB"/>
              </w:rPr>
              <w:t>Despite what is claimed</w:t>
            </w:r>
            <w:r w:rsidR="000B07E2" w:rsidRPr="00B251A0">
              <w:rPr>
                <w:rFonts w:eastAsia="Times New Roman" w:cs="Arial"/>
                <w:color w:val="4472C4" w:themeColor="accent1"/>
                <w:kern w:val="36"/>
                <w:sz w:val="20"/>
                <w:szCs w:val="20"/>
                <w:lang w:eastAsia="en-GB"/>
              </w:rPr>
              <w:t>, the development strategy which has been selected</w:t>
            </w:r>
            <w:r w:rsidRPr="00B251A0">
              <w:rPr>
                <w:rFonts w:eastAsia="Times New Roman" w:cs="Arial"/>
                <w:color w:val="4472C4" w:themeColor="accent1"/>
                <w:kern w:val="36"/>
                <w:sz w:val="20"/>
                <w:szCs w:val="20"/>
                <w:lang w:eastAsia="en-GB"/>
              </w:rPr>
              <w:t xml:space="preserve"> does not perform well against the key aims of:</w:t>
            </w:r>
          </w:p>
          <w:p w14:paraId="5B151938" w14:textId="77777777" w:rsidR="008326AE" w:rsidRPr="00B251A0" w:rsidRDefault="008326AE" w:rsidP="008326AE">
            <w:pPr>
              <w:numPr>
                <w:ilvl w:val="1"/>
                <w:numId w:val="24"/>
              </w:numPr>
              <w:shd w:val="clear" w:color="auto" w:fill="FFFFFF"/>
              <w:spacing w:line="240" w:lineRule="auto"/>
              <w:rPr>
                <w:rFonts w:eastAsia="Times New Roman" w:cs="Arial"/>
                <w:color w:val="4472C4" w:themeColor="accent1"/>
                <w:kern w:val="36"/>
                <w:sz w:val="20"/>
                <w:szCs w:val="20"/>
                <w:lang w:eastAsia="en-GB"/>
              </w:rPr>
            </w:pPr>
            <w:r w:rsidRPr="00B251A0">
              <w:rPr>
                <w:rFonts w:eastAsia="Times New Roman" w:cs="Arial"/>
                <w:color w:val="4472C4" w:themeColor="accent1"/>
                <w:kern w:val="36"/>
                <w:sz w:val="20"/>
                <w:szCs w:val="20"/>
                <w:lang w:eastAsia="en-GB"/>
              </w:rPr>
              <w:t>Making best use of existing and committed key sustainable transport infrastructure; and</w:t>
            </w:r>
          </w:p>
          <w:p w14:paraId="4A2139E1" w14:textId="77777777" w:rsidR="004E3D2C" w:rsidRPr="00B251A0" w:rsidRDefault="008326AE" w:rsidP="004E3D2C">
            <w:pPr>
              <w:numPr>
                <w:ilvl w:val="1"/>
                <w:numId w:val="24"/>
              </w:numPr>
              <w:shd w:val="clear" w:color="auto" w:fill="FFFFFF"/>
              <w:spacing w:line="240" w:lineRule="auto"/>
              <w:rPr>
                <w:rFonts w:eastAsia="Times New Roman" w:cs="Arial"/>
                <w:color w:val="4472C4" w:themeColor="accent1"/>
                <w:kern w:val="36"/>
                <w:sz w:val="20"/>
                <w:szCs w:val="20"/>
                <w:lang w:eastAsia="en-GB"/>
              </w:rPr>
            </w:pPr>
            <w:r w:rsidRPr="00B251A0">
              <w:rPr>
                <w:rFonts w:eastAsia="Times New Roman" w:cs="Arial"/>
                <w:color w:val="4472C4" w:themeColor="accent1"/>
                <w:kern w:val="36"/>
                <w:sz w:val="20"/>
                <w:szCs w:val="20"/>
                <w:lang w:eastAsia="en-GB"/>
              </w:rPr>
              <w:lastRenderedPageBreak/>
              <w:t>Supporting rural communities to thrive and sustain services.</w:t>
            </w:r>
          </w:p>
          <w:p w14:paraId="20C201BA" w14:textId="5B8BE4C5" w:rsidR="008326AE" w:rsidRPr="00B251A0" w:rsidRDefault="004E3D2C" w:rsidP="004E3D2C">
            <w:pPr>
              <w:pStyle w:val="ListParagraph"/>
              <w:shd w:val="clear" w:color="auto" w:fill="FFFFFF"/>
              <w:spacing w:line="240" w:lineRule="auto"/>
              <w:ind w:left="360"/>
              <w:rPr>
                <w:rFonts w:eastAsia="Times New Roman" w:cs="Arial"/>
                <w:color w:val="4472C4" w:themeColor="accent1"/>
                <w:kern w:val="36"/>
                <w:sz w:val="20"/>
                <w:szCs w:val="20"/>
                <w:lang w:eastAsia="en-GB"/>
              </w:rPr>
            </w:pPr>
            <w:r w:rsidRPr="00B251A0">
              <w:rPr>
                <w:rFonts w:eastAsia="Times New Roman" w:cs="Arial"/>
                <w:color w:val="4472C4" w:themeColor="accent1"/>
                <w:kern w:val="36"/>
                <w:sz w:val="20"/>
                <w:szCs w:val="20"/>
                <w:lang w:eastAsia="en-GB"/>
              </w:rPr>
              <w:t>This is b</w:t>
            </w:r>
            <w:r w:rsidR="008326AE" w:rsidRPr="00B251A0">
              <w:rPr>
                <w:rFonts w:eastAsia="Times New Roman" w:cs="Arial"/>
                <w:color w:val="4472C4" w:themeColor="accent1"/>
                <w:kern w:val="36"/>
                <w:sz w:val="20"/>
                <w:szCs w:val="20"/>
                <w:lang w:eastAsia="en-GB"/>
              </w:rPr>
              <w:t>ecause:</w:t>
            </w:r>
          </w:p>
          <w:p w14:paraId="2C2A8F4C" w14:textId="61639764" w:rsidR="008326AE" w:rsidRPr="00B251A0" w:rsidRDefault="008326AE" w:rsidP="008326AE">
            <w:pPr>
              <w:pStyle w:val="ListParagraph"/>
              <w:numPr>
                <w:ilvl w:val="0"/>
                <w:numId w:val="25"/>
              </w:numPr>
              <w:shd w:val="clear" w:color="auto" w:fill="FFFFFF"/>
              <w:spacing w:line="240" w:lineRule="auto"/>
              <w:rPr>
                <w:rFonts w:eastAsia="Times New Roman" w:cs="Arial"/>
                <w:color w:val="4472C4" w:themeColor="accent1"/>
                <w:kern w:val="36"/>
                <w:sz w:val="20"/>
                <w:szCs w:val="20"/>
                <w:lang w:eastAsia="en-GB"/>
              </w:rPr>
            </w:pPr>
            <w:r w:rsidRPr="00B251A0">
              <w:rPr>
                <w:rFonts w:eastAsia="Times New Roman" w:cs="Arial"/>
                <w:color w:val="4472C4" w:themeColor="accent1"/>
                <w:kern w:val="36"/>
                <w:sz w:val="20"/>
                <w:szCs w:val="20"/>
                <w:lang w:eastAsia="en-GB"/>
              </w:rPr>
              <w:t xml:space="preserve">it does not capitalise fully </w:t>
            </w:r>
            <w:r w:rsidR="004E3D2C" w:rsidRPr="00B251A0">
              <w:rPr>
                <w:rFonts w:eastAsia="Times New Roman" w:cs="Arial"/>
                <w:color w:val="4472C4" w:themeColor="accent1"/>
                <w:kern w:val="36"/>
                <w:sz w:val="20"/>
                <w:szCs w:val="20"/>
                <w:lang w:eastAsia="en-GB"/>
              </w:rPr>
              <w:t xml:space="preserve">and most effectively </w:t>
            </w:r>
            <w:r w:rsidRPr="00B251A0">
              <w:rPr>
                <w:rFonts w:eastAsia="Times New Roman" w:cs="Arial"/>
                <w:color w:val="4472C4" w:themeColor="accent1"/>
                <w:kern w:val="36"/>
                <w:sz w:val="20"/>
                <w:szCs w:val="20"/>
                <w:lang w:eastAsia="en-GB"/>
              </w:rPr>
              <w:t>on the committed key sustainable transport infrastructure along the A428/E-W Rail/OxCam Arc corridor.</w:t>
            </w:r>
          </w:p>
          <w:p w14:paraId="1ECEB5EE" w14:textId="5A0D3F48" w:rsidR="008326AE" w:rsidRPr="00B251A0" w:rsidRDefault="008326AE" w:rsidP="008326AE">
            <w:pPr>
              <w:pStyle w:val="ListParagraph"/>
              <w:numPr>
                <w:ilvl w:val="0"/>
                <w:numId w:val="25"/>
              </w:numPr>
              <w:shd w:val="clear" w:color="auto" w:fill="FFFFFF"/>
              <w:spacing w:line="240" w:lineRule="auto"/>
              <w:rPr>
                <w:rFonts w:eastAsia="Times New Roman" w:cs="Arial"/>
                <w:color w:val="4472C4" w:themeColor="accent1"/>
                <w:kern w:val="36"/>
                <w:sz w:val="20"/>
                <w:szCs w:val="20"/>
                <w:lang w:eastAsia="en-GB"/>
              </w:rPr>
            </w:pPr>
            <w:r w:rsidRPr="00B251A0">
              <w:rPr>
                <w:rFonts w:eastAsia="Times New Roman" w:cs="Arial"/>
                <w:color w:val="4472C4" w:themeColor="accent1"/>
                <w:kern w:val="36"/>
                <w:sz w:val="20"/>
                <w:szCs w:val="20"/>
                <w:lang w:eastAsia="en-GB"/>
              </w:rPr>
              <w:t>It involves and therefore supports very few rural communities</w:t>
            </w:r>
            <w:r w:rsidR="004E3D2C" w:rsidRPr="00B251A0">
              <w:rPr>
                <w:rFonts w:eastAsia="Times New Roman" w:cs="Arial"/>
                <w:color w:val="4472C4" w:themeColor="accent1"/>
                <w:kern w:val="36"/>
                <w:sz w:val="20"/>
                <w:szCs w:val="20"/>
                <w:lang w:eastAsia="en-GB"/>
              </w:rPr>
              <w:t xml:space="preserve"> </w:t>
            </w:r>
            <w:r w:rsidRPr="00B251A0">
              <w:rPr>
                <w:rFonts w:eastAsia="Times New Roman" w:cs="Arial"/>
                <w:color w:val="4472C4" w:themeColor="accent1"/>
                <w:kern w:val="36"/>
                <w:sz w:val="20"/>
                <w:szCs w:val="20"/>
                <w:lang w:eastAsia="en-GB"/>
              </w:rPr>
              <w:t>and</w:t>
            </w:r>
            <w:r w:rsidR="004E3D2C" w:rsidRPr="00B251A0">
              <w:rPr>
                <w:rFonts w:eastAsia="Times New Roman" w:cs="Arial"/>
                <w:color w:val="4472C4" w:themeColor="accent1"/>
                <w:kern w:val="36"/>
                <w:sz w:val="20"/>
                <w:szCs w:val="20"/>
                <w:lang w:eastAsia="en-GB"/>
              </w:rPr>
              <w:t>,</w:t>
            </w:r>
            <w:r w:rsidRPr="00B251A0">
              <w:rPr>
                <w:rFonts w:eastAsia="Times New Roman" w:cs="Arial"/>
                <w:color w:val="4472C4" w:themeColor="accent1"/>
                <w:kern w:val="36"/>
                <w:sz w:val="20"/>
                <w:szCs w:val="20"/>
                <w:lang w:eastAsia="en-GB"/>
              </w:rPr>
              <w:t xml:space="preserve"> therefore, far from thriving, most rural communities will stand still or stagnate during the plan period, rather than growing in a sustainable manner.</w:t>
            </w:r>
          </w:p>
          <w:p w14:paraId="154C3A20" w14:textId="77777777" w:rsidR="008326AE" w:rsidRPr="00B251A0" w:rsidRDefault="008326AE" w:rsidP="000B07E2">
            <w:pPr>
              <w:shd w:val="clear" w:color="auto" w:fill="FFFFFF"/>
              <w:spacing w:line="240" w:lineRule="auto"/>
              <w:rPr>
                <w:rFonts w:cs="Arial"/>
                <w:color w:val="3B3B3B"/>
                <w:sz w:val="20"/>
                <w:szCs w:val="20"/>
              </w:rPr>
            </w:pPr>
          </w:p>
          <w:p w14:paraId="7F487F32" w14:textId="528FB50C" w:rsidR="008326AE" w:rsidRPr="00B251A0" w:rsidRDefault="000B07E2" w:rsidP="008326AE">
            <w:pPr>
              <w:pStyle w:val="ListParagraph"/>
              <w:numPr>
                <w:ilvl w:val="0"/>
                <w:numId w:val="23"/>
              </w:numPr>
              <w:shd w:val="clear" w:color="auto" w:fill="FFFFFF"/>
              <w:spacing w:line="240" w:lineRule="auto"/>
              <w:rPr>
                <w:rFonts w:eastAsia="Times New Roman" w:cs="Arial"/>
                <w:color w:val="4472C4" w:themeColor="accent1"/>
                <w:kern w:val="36"/>
                <w:sz w:val="20"/>
                <w:szCs w:val="20"/>
                <w:lang w:eastAsia="en-GB"/>
              </w:rPr>
            </w:pPr>
            <w:r w:rsidRPr="00B251A0">
              <w:rPr>
                <w:rFonts w:eastAsia="Times New Roman" w:cs="Arial"/>
                <w:color w:val="4472C4" w:themeColor="accent1"/>
                <w:kern w:val="36"/>
                <w:sz w:val="20"/>
                <w:szCs w:val="20"/>
                <w:lang w:eastAsia="en-GB"/>
              </w:rPr>
              <w:t>Further, t</w:t>
            </w:r>
            <w:r w:rsidR="008326AE" w:rsidRPr="00B251A0">
              <w:rPr>
                <w:rFonts w:eastAsia="Times New Roman" w:cs="Arial"/>
                <w:color w:val="4472C4" w:themeColor="accent1"/>
                <w:kern w:val="36"/>
                <w:sz w:val="20"/>
                <w:szCs w:val="20"/>
                <w:lang w:eastAsia="en-GB"/>
              </w:rPr>
              <w:t xml:space="preserve">he </w:t>
            </w:r>
            <w:r w:rsidRPr="00B251A0">
              <w:rPr>
                <w:rFonts w:eastAsia="Times New Roman" w:cs="Arial"/>
                <w:color w:val="4472C4" w:themeColor="accent1"/>
                <w:kern w:val="36"/>
                <w:sz w:val="20"/>
                <w:szCs w:val="20"/>
                <w:lang w:eastAsia="en-GB"/>
              </w:rPr>
              <w:t xml:space="preserve">development strategy </w:t>
            </w:r>
            <w:r w:rsidR="008326AE" w:rsidRPr="00B251A0">
              <w:rPr>
                <w:rFonts w:eastAsia="Times New Roman" w:cs="Arial"/>
                <w:color w:val="4472C4" w:themeColor="accent1"/>
                <w:kern w:val="36"/>
                <w:sz w:val="20"/>
                <w:szCs w:val="20"/>
                <w:lang w:eastAsia="en-GB"/>
              </w:rPr>
              <w:t xml:space="preserve">is </w:t>
            </w:r>
            <w:r w:rsidR="001E41FC" w:rsidRPr="00B251A0">
              <w:rPr>
                <w:rFonts w:eastAsia="Times New Roman" w:cs="Arial"/>
                <w:color w:val="4472C4" w:themeColor="accent1"/>
                <w:kern w:val="36"/>
                <w:sz w:val="20"/>
                <w:szCs w:val="20"/>
                <w:lang w:eastAsia="en-GB"/>
              </w:rPr>
              <w:t>insufficiently diversified</w:t>
            </w:r>
            <w:r w:rsidR="008326AE" w:rsidRPr="00B251A0">
              <w:rPr>
                <w:rFonts w:eastAsia="Times New Roman" w:cs="Arial"/>
                <w:color w:val="4472C4" w:themeColor="accent1"/>
                <w:kern w:val="36"/>
                <w:sz w:val="20"/>
                <w:szCs w:val="20"/>
                <w:lang w:eastAsia="en-GB"/>
              </w:rPr>
              <w:t xml:space="preserve"> because:</w:t>
            </w:r>
          </w:p>
          <w:p w14:paraId="1C38F4DF" w14:textId="1A9412CC" w:rsidR="000B07E2" w:rsidRPr="00B251A0" w:rsidRDefault="000B07E2" w:rsidP="000B07E2">
            <w:pPr>
              <w:pStyle w:val="ListParagraph"/>
              <w:numPr>
                <w:ilvl w:val="0"/>
                <w:numId w:val="25"/>
              </w:numPr>
              <w:shd w:val="clear" w:color="auto" w:fill="FFFFFF"/>
              <w:spacing w:line="240" w:lineRule="auto"/>
              <w:rPr>
                <w:rFonts w:eastAsia="Times New Roman" w:cs="Arial"/>
                <w:color w:val="4472C4" w:themeColor="accent1"/>
                <w:kern w:val="36"/>
                <w:sz w:val="20"/>
                <w:szCs w:val="20"/>
                <w:lang w:eastAsia="en-GB"/>
              </w:rPr>
            </w:pPr>
            <w:r w:rsidRPr="00B251A0">
              <w:rPr>
                <w:rFonts w:eastAsia="Times New Roman" w:cs="Arial"/>
                <w:color w:val="4472C4" w:themeColor="accent1"/>
                <w:kern w:val="36"/>
                <w:sz w:val="20"/>
                <w:szCs w:val="20"/>
                <w:lang w:eastAsia="en-GB"/>
              </w:rPr>
              <w:t>It does not include enough small-medium size allocations to:</w:t>
            </w:r>
          </w:p>
          <w:p w14:paraId="3DA1EE3B" w14:textId="1847FB81" w:rsidR="000B07E2" w:rsidRPr="00B251A0" w:rsidRDefault="000B07E2" w:rsidP="000B07E2">
            <w:pPr>
              <w:pStyle w:val="ListParagraph"/>
              <w:numPr>
                <w:ilvl w:val="1"/>
                <w:numId w:val="25"/>
              </w:numPr>
              <w:shd w:val="clear" w:color="auto" w:fill="FFFFFF"/>
              <w:spacing w:line="240" w:lineRule="auto"/>
              <w:rPr>
                <w:rFonts w:eastAsia="Times New Roman" w:cs="Arial"/>
                <w:color w:val="4472C4" w:themeColor="accent1"/>
                <w:kern w:val="36"/>
                <w:sz w:val="20"/>
                <w:szCs w:val="20"/>
                <w:lang w:eastAsia="en-GB"/>
              </w:rPr>
            </w:pPr>
            <w:r w:rsidRPr="00B251A0">
              <w:rPr>
                <w:rFonts w:eastAsia="Times New Roman" w:cs="Arial"/>
                <w:color w:val="4472C4" w:themeColor="accent1"/>
                <w:kern w:val="36"/>
                <w:sz w:val="20"/>
                <w:szCs w:val="20"/>
                <w:lang w:eastAsia="en-GB"/>
              </w:rPr>
              <w:t xml:space="preserve">Provide a reliable, smooth supply of housing land </w:t>
            </w:r>
            <w:r w:rsidR="00257A63" w:rsidRPr="00B251A0">
              <w:rPr>
                <w:rFonts w:eastAsia="Times New Roman" w:cs="Arial"/>
                <w:color w:val="4472C4" w:themeColor="accent1"/>
                <w:kern w:val="36"/>
                <w:sz w:val="20"/>
                <w:szCs w:val="20"/>
                <w:lang w:eastAsia="en-GB"/>
              </w:rPr>
              <w:t xml:space="preserve">over </w:t>
            </w:r>
            <w:r w:rsidR="004E3D2C" w:rsidRPr="00B251A0">
              <w:rPr>
                <w:rFonts w:eastAsia="Times New Roman" w:cs="Arial"/>
                <w:color w:val="4472C4" w:themeColor="accent1"/>
                <w:kern w:val="36"/>
                <w:sz w:val="20"/>
                <w:szCs w:val="20"/>
                <w:lang w:eastAsia="en-GB"/>
              </w:rPr>
              <w:t>the whole</w:t>
            </w:r>
            <w:r w:rsidR="00257A63" w:rsidRPr="00B251A0">
              <w:rPr>
                <w:rFonts w:eastAsia="Times New Roman" w:cs="Arial"/>
                <w:color w:val="4472C4" w:themeColor="accent1"/>
                <w:kern w:val="36"/>
                <w:sz w:val="20"/>
                <w:szCs w:val="20"/>
                <w:lang w:eastAsia="en-GB"/>
              </w:rPr>
              <w:t xml:space="preserve"> plan period; and</w:t>
            </w:r>
          </w:p>
          <w:p w14:paraId="1B2BA2E9" w14:textId="14CD98F6" w:rsidR="00257A63" w:rsidRPr="00B251A0" w:rsidRDefault="00257A63" w:rsidP="00257A63">
            <w:pPr>
              <w:pStyle w:val="ListParagraph"/>
              <w:numPr>
                <w:ilvl w:val="1"/>
                <w:numId w:val="25"/>
              </w:numPr>
              <w:shd w:val="clear" w:color="auto" w:fill="FFFFFF"/>
              <w:spacing w:line="240" w:lineRule="auto"/>
              <w:rPr>
                <w:rFonts w:eastAsia="Times New Roman" w:cs="Arial"/>
                <w:color w:val="4472C4" w:themeColor="accent1"/>
                <w:kern w:val="36"/>
                <w:sz w:val="20"/>
                <w:szCs w:val="20"/>
                <w:lang w:eastAsia="en-GB"/>
              </w:rPr>
            </w:pPr>
            <w:r w:rsidRPr="00B251A0">
              <w:rPr>
                <w:rFonts w:eastAsia="Times New Roman" w:cs="Arial"/>
                <w:color w:val="4472C4" w:themeColor="accent1"/>
                <w:kern w:val="36"/>
                <w:sz w:val="20"/>
                <w:szCs w:val="20"/>
                <w:lang w:eastAsia="en-GB"/>
              </w:rPr>
              <w:t xml:space="preserve">Provide a suitable level of choice in terms of the location, size, type and tenure of housing that the </w:t>
            </w:r>
            <w:r w:rsidR="004E3D2C" w:rsidRPr="00B251A0">
              <w:rPr>
                <w:rFonts w:eastAsia="Times New Roman" w:cs="Arial"/>
                <w:color w:val="4472C4" w:themeColor="accent1"/>
                <w:kern w:val="36"/>
                <w:sz w:val="20"/>
                <w:szCs w:val="20"/>
                <w:lang w:eastAsia="en-GB"/>
              </w:rPr>
              <w:t>emerging local plan will deliver</w:t>
            </w:r>
            <w:r w:rsidRPr="00B251A0">
              <w:rPr>
                <w:rFonts w:eastAsia="Times New Roman" w:cs="Arial"/>
                <w:color w:val="4472C4" w:themeColor="accent1"/>
                <w:kern w:val="36"/>
                <w:sz w:val="20"/>
                <w:szCs w:val="20"/>
                <w:lang w:eastAsia="en-GB"/>
              </w:rPr>
              <w:t>.</w:t>
            </w:r>
          </w:p>
          <w:p w14:paraId="28302E0D" w14:textId="77777777" w:rsidR="00257A63" w:rsidRPr="00B251A0" w:rsidRDefault="00257A63" w:rsidP="00257A63">
            <w:pPr>
              <w:pStyle w:val="ListParagraph"/>
              <w:shd w:val="clear" w:color="auto" w:fill="FFFFFF"/>
              <w:spacing w:line="240" w:lineRule="auto"/>
              <w:ind w:left="1800"/>
              <w:rPr>
                <w:rFonts w:eastAsia="Times New Roman" w:cs="Arial"/>
                <w:color w:val="4472C4" w:themeColor="accent1"/>
                <w:kern w:val="36"/>
                <w:sz w:val="20"/>
                <w:szCs w:val="20"/>
                <w:lang w:eastAsia="en-GB"/>
              </w:rPr>
            </w:pPr>
          </w:p>
          <w:p w14:paraId="5091613F" w14:textId="77777777" w:rsidR="00257A63" w:rsidRPr="00B251A0" w:rsidRDefault="00257A63" w:rsidP="00257A63">
            <w:pPr>
              <w:pStyle w:val="ListParagraph"/>
              <w:numPr>
                <w:ilvl w:val="0"/>
                <w:numId w:val="23"/>
              </w:numPr>
              <w:shd w:val="clear" w:color="auto" w:fill="FFFFFF"/>
              <w:spacing w:line="240" w:lineRule="auto"/>
              <w:rPr>
                <w:rFonts w:eastAsia="Times New Roman" w:cs="Arial"/>
                <w:color w:val="4472C4" w:themeColor="accent1"/>
                <w:kern w:val="36"/>
                <w:sz w:val="20"/>
                <w:szCs w:val="20"/>
                <w:lang w:eastAsia="en-GB"/>
              </w:rPr>
            </w:pPr>
            <w:r w:rsidRPr="00B251A0">
              <w:rPr>
                <w:rFonts w:eastAsia="Times New Roman" w:cs="Arial"/>
                <w:color w:val="4472C4" w:themeColor="accent1"/>
                <w:kern w:val="36"/>
                <w:sz w:val="20"/>
                <w:szCs w:val="20"/>
                <w:lang w:eastAsia="en-GB"/>
              </w:rPr>
              <w:t>As a result the development strategy r</w:t>
            </w:r>
            <w:r w:rsidR="001E41FC" w:rsidRPr="00B251A0">
              <w:rPr>
                <w:rFonts w:eastAsia="Times New Roman" w:cs="Arial"/>
                <w:color w:val="4472C4" w:themeColor="accent1"/>
                <w:kern w:val="36"/>
                <w:sz w:val="20"/>
                <w:szCs w:val="20"/>
                <w:lang w:eastAsia="en-GB"/>
              </w:rPr>
              <w:t>isks</w:t>
            </w:r>
            <w:r w:rsidRPr="00B251A0">
              <w:rPr>
                <w:rFonts w:eastAsia="Times New Roman" w:cs="Arial"/>
                <w:color w:val="4472C4" w:themeColor="accent1"/>
                <w:kern w:val="36"/>
                <w:sz w:val="20"/>
                <w:szCs w:val="20"/>
                <w:lang w:eastAsia="en-GB"/>
              </w:rPr>
              <w:t>:</w:t>
            </w:r>
          </w:p>
          <w:p w14:paraId="4ED5CE9C" w14:textId="1CAB518F" w:rsidR="00257A63" w:rsidRPr="00B251A0" w:rsidRDefault="00257A63" w:rsidP="00257A63">
            <w:pPr>
              <w:pStyle w:val="ListParagraph"/>
              <w:numPr>
                <w:ilvl w:val="0"/>
                <w:numId w:val="25"/>
              </w:numPr>
              <w:shd w:val="clear" w:color="auto" w:fill="FFFFFF"/>
              <w:spacing w:line="240" w:lineRule="auto"/>
              <w:rPr>
                <w:rFonts w:eastAsia="Times New Roman" w:cs="Arial"/>
                <w:color w:val="4472C4" w:themeColor="accent1"/>
                <w:kern w:val="36"/>
                <w:sz w:val="20"/>
                <w:szCs w:val="20"/>
                <w:lang w:eastAsia="en-GB"/>
              </w:rPr>
            </w:pPr>
            <w:r w:rsidRPr="00B251A0">
              <w:rPr>
                <w:rFonts w:eastAsia="Times New Roman" w:cs="Arial"/>
                <w:color w:val="4472C4" w:themeColor="accent1"/>
                <w:kern w:val="36"/>
                <w:sz w:val="20"/>
                <w:szCs w:val="20"/>
                <w:lang w:eastAsia="en-GB"/>
              </w:rPr>
              <w:t>further</w:t>
            </w:r>
            <w:r w:rsidR="001E41FC" w:rsidRPr="00B251A0">
              <w:rPr>
                <w:rFonts w:eastAsia="Times New Roman" w:cs="Arial"/>
                <w:color w:val="4472C4" w:themeColor="accent1"/>
                <w:kern w:val="36"/>
                <w:sz w:val="20"/>
                <w:szCs w:val="20"/>
                <w:lang w:eastAsia="en-GB"/>
              </w:rPr>
              <w:t xml:space="preserve"> concentrating growth and wealth</w:t>
            </w:r>
            <w:r w:rsidRPr="00B251A0">
              <w:rPr>
                <w:rFonts w:eastAsia="Times New Roman" w:cs="Arial"/>
                <w:color w:val="4472C4" w:themeColor="accent1"/>
                <w:kern w:val="36"/>
                <w:sz w:val="20"/>
                <w:szCs w:val="20"/>
                <w:lang w:eastAsia="en-GB"/>
              </w:rPr>
              <w:t xml:space="preserve"> in a limited number of areas within Greater Cambridge.</w:t>
            </w:r>
          </w:p>
          <w:p w14:paraId="3BA1D28B" w14:textId="5CE56724" w:rsidR="001E41FC" w:rsidRPr="00B251A0" w:rsidRDefault="001E41FC" w:rsidP="000B07E2">
            <w:pPr>
              <w:pStyle w:val="ListParagraph"/>
              <w:numPr>
                <w:ilvl w:val="0"/>
                <w:numId w:val="25"/>
              </w:numPr>
              <w:shd w:val="clear" w:color="auto" w:fill="FFFFFF"/>
              <w:spacing w:line="240" w:lineRule="auto"/>
              <w:rPr>
                <w:rFonts w:eastAsia="Times New Roman" w:cs="Arial"/>
                <w:color w:val="4472C4" w:themeColor="accent1"/>
                <w:kern w:val="36"/>
                <w:sz w:val="20"/>
                <w:szCs w:val="20"/>
                <w:lang w:eastAsia="en-GB"/>
              </w:rPr>
            </w:pPr>
            <w:r w:rsidRPr="00B251A0">
              <w:rPr>
                <w:rFonts w:eastAsia="Times New Roman" w:cs="Arial"/>
                <w:color w:val="4472C4" w:themeColor="accent1"/>
                <w:kern w:val="36"/>
                <w:sz w:val="20"/>
                <w:szCs w:val="20"/>
                <w:lang w:eastAsia="en-GB"/>
              </w:rPr>
              <w:t xml:space="preserve">Not </w:t>
            </w:r>
            <w:r w:rsidR="00257A63" w:rsidRPr="00B251A0">
              <w:rPr>
                <w:rFonts w:eastAsia="Times New Roman" w:cs="Arial"/>
                <w:color w:val="4472C4" w:themeColor="accent1"/>
                <w:kern w:val="36"/>
                <w:sz w:val="20"/>
                <w:szCs w:val="20"/>
                <w:lang w:eastAsia="en-GB"/>
              </w:rPr>
              <w:t>sufficiently capitalising on the significant opportunity offered by the A428/E-W Rail/Ox</w:t>
            </w:r>
            <w:r w:rsidR="004E3D2C" w:rsidRPr="00B251A0">
              <w:rPr>
                <w:rFonts w:eastAsia="Times New Roman" w:cs="Arial"/>
                <w:color w:val="4472C4" w:themeColor="accent1"/>
                <w:kern w:val="36"/>
                <w:sz w:val="20"/>
                <w:szCs w:val="20"/>
                <w:lang w:eastAsia="en-GB"/>
              </w:rPr>
              <w:t>C</w:t>
            </w:r>
            <w:r w:rsidR="00257A63" w:rsidRPr="00B251A0">
              <w:rPr>
                <w:rFonts w:eastAsia="Times New Roman" w:cs="Arial"/>
                <w:color w:val="4472C4" w:themeColor="accent1"/>
                <w:kern w:val="36"/>
                <w:sz w:val="20"/>
                <w:szCs w:val="20"/>
                <w:lang w:eastAsia="en-GB"/>
              </w:rPr>
              <w:t>am Arc corridor.</w:t>
            </w:r>
          </w:p>
          <w:p w14:paraId="24AEFC82" w14:textId="4EC2904C" w:rsidR="000B07E2" w:rsidRPr="00B251A0" w:rsidRDefault="00257A63" w:rsidP="00257A63">
            <w:pPr>
              <w:pStyle w:val="ListParagraph"/>
              <w:numPr>
                <w:ilvl w:val="0"/>
                <w:numId w:val="25"/>
              </w:numPr>
              <w:shd w:val="clear" w:color="auto" w:fill="FFFFFF"/>
              <w:spacing w:line="240" w:lineRule="auto"/>
              <w:rPr>
                <w:rFonts w:eastAsia="Times New Roman" w:cs="Arial"/>
                <w:color w:val="4472C4" w:themeColor="accent1"/>
                <w:kern w:val="36"/>
                <w:sz w:val="20"/>
                <w:szCs w:val="20"/>
                <w:lang w:eastAsia="en-GB"/>
              </w:rPr>
            </w:pPr>
            <w:r w:rsidRPr="00B251A0">
              <w:rPr>
                <w:rFonts w:eastAsia="Times New Roman" w:cs="Arial"/>
                <w:color w:val="4472C4" w:themeColor="accent1"/>
                <w:kern w:val="36"/>
                <w:sz w:val="20"/>
                <w:szCs w:val="20"/>
                <w:lang w:eastAsia="en-GB"/>
              </w:rPr>
              <w:t>Failing to support the successful delivery of the A428/E-W Rail/Ox</w:t>
            </w:r>
            <w:r w:rsidR="004E3D2C" w:rsidRPr="00B251A0">
              <w:rPr>
                <w:rFonts w:eastAsia="Times New Roman" w:cs="Arial"/>
                <w:color w:val="4472C4" w:themeColor="accent1"/>
                <w:kern w:val="36"/>
                <w:sz w:val="20"/>
                <w:szCs w:val="20"/>
                <w:lang w:eastAsia="en-GB"/>
              </w:rPr>
              <w:t>C</w:t>
            </w:r>
            <w:r w:rsidRPr="00B251A0">
              <w:rPr>
                <w:rFonts w:eastAsia="Times New Roman" w:cs="Arial"/>
                <w:color w:val="4472C4" w:themeColor="accent1"/>
                <w:kern w:val="36"/>
                <w:sz w:val="20"/>
                <w:szCs w:val="20"/>
                <w:lang w:eastAsia="en-GB"/>
              </w:rPr>
              <w:t>am Arc corridor as a result of not allocating development which will help fund, support and connect with it.</w:t>
            </w:r>
          </w:p>
          <w:p w14:paraId="18CFB33D" w14:textId="5F4C20A3" w:rsidR="00626AD0" w:rsidRPr="00B251A0" w:rsidRDefault="00626AD0" w:rsidP="00C04E64">
            <w:pPr>
              <w:spacing w:line="240" w:lineRule="auto"/>
              <w:rPr>
                <w:rFonts w:cs="Arial"/>
                <w:i/>
                <w:iCs/>
                <w:color w:val="3B3B3B"/>
                <w:sz w:val="20"/>
                <w:szCs w:val="20"/>
              </w:rPr>
            </w:pPr>
          </w:p>
        </w:tc>
      </w:tr>
      <w:tr w:rsidR="00761AE5" w:rsidRPr="00B251A0" w14:paraId="583DB8B6" w14:textId="731BDC8A" w:rsidTr="00761AE5">
        <w:tc>
          <w:tcPr>
            <w:tcW w:w="3256" w:type="dxa"/>
          </w:tcPr>
          <w:p w14:paraId="7E2B252A" w14:textId="77777777" w:rsidR="00761AE5" w:rsidRPr="00B251A0" w:rsidRDefault="00761AE5" w:rsidP="00761AE5">
            <w:pPr>
              <w:rPr>
                <w:rFonts w:cs="Arial"/>
              </w:rPr>
            </w:pPr>
            <w:r w:rsidRPr="00B251A0">
              <w:rPr>
                <w:rFonts w:cs="Arial"/>
              </w:rPr>
              <w:lastRenderedPageBreak/>
              <w:t>S/SH: Settlement hierarchy</w:t>
            </w:r>
          </w:p>
        </w:tc>
        <w:tc>
          <w:tcPr>
            <w:tcW w:w="5760" w:type="dxa"/>
          </w:tcPr>
          <w:p w14:paraId="0EE87F84" w14:textId="77777777" w:rsidR="00761AE5" w:rsidRPr="00B251A0" w:rsidRDefault="00761AE5" w:rsidP="00761AE5">
            <w:pPr>
              <w:rPr>
                <w:rFonts w:cs="Arial"/>
              </w:rPr>
            </w:pPr>
          </w:p>
        </w:tc>
      </w:tr>
      <w:tr w:rsidR="00761AE5" w:rsidRPr="00B251A0" w14:paraId="12BCD4DD" w14:textId="0870954B" w:rsidTr="00761AE5">
        <w:tc>
          <w:tcPr>
            <w:tcW w:w="3256" w:type="dxa"/>
          </w:tcPr>
          <w:p w14:paraId="52E41314" w14:textId="77777777" w:rsidR="00761AE5" w:rsidRPr="00B251A0" w:rsidRDefault="00761AE5" w:rsidP="00761AE5">
            <w:pPr>
              <w:rPr>
                <w:rFonts w:cs="Arial"/>
              </w:rPr>
            </w:pPr>
            <w:r w:rsidRPr="00B251A0">
              <w:rPr>
                <w:rFonts w:cs="Arial"/>
              </w:rPr>
              <w:t>S/SB: Settlement boundaries</w:t>
            </w:r>
          </w:p>
        </w:tc>
        <w:tc>
          <w:tcPr>
            <w:tcW w:w="5760" w:type="dxa"/>
          </w:tcPr>
          <w:p w14:paraId="621C0369" w14:textId="77777777" w:rsidR="00761AE5" w:rsidRPr="00B251A0" w:rsidRDefault="00761AE5" w:rsidP="00761AE5">
            <w:pPr>
              <w:rPr>
                <w:rFonts w:cs="Arial"/>
              </w:rPr>
            </w:pPr>
          </w:p>
        </w:tc>
      </w:tr>
    </w:tbl>
    <w:p w14:paraId="247E0F2A" w14:textId="77777777" w:rsidR="00761AE5" w:rsidRPr="00B251A0" w:rsidRDefault="00761AE5"/>
    <w:p w14:paraId="4678E710" w14:textId="7E450EB5" w:rsidR="00761AE5" w:rsidRPr="00B251A0" w:rsidRDefault="00761AE5" w:rsidP="00761AE5">
      <w:pPr>
        <w:pStyle w:val="Heading2"/>
      </w:pPr>
      <w:r w:rsidRPr="00B251A0">
        <w:t xml:space="preserve">Cambridge urban area </w:t>
      </w:r>
    </w:p>
    <w:tbl>
      <w:tblPr>
        <w:tblStyle w:val="TableGrid"/>
        <w:tblW w:w="0" w:type="auto"/>
        <w:tblLook w:val="04A0" w:firstRow="1" w:lastRow="0" w:firstColumn="1" w:lastColumn="0" w:noHBand="0" w:noVBand="1"/>
      </w:tblPr>
      <w:tblGrid>
        <w:gridCol w:w="3256"/>
        <w:gridCol w:w="5760"/>
      </w:tblGrid>
      <w:tr w:rsidR="00761AE5" w:rsidRPr="00B251A0" w14:paraId="182F956B" w14:textId="77777777" w:rsidTr="00D238FC">
        <w:tc>
          <w:tcPr>
            <w:tcW w:w="3256" w:type="dxa"/>
          </w:tcPr>
          <w:p w14:paraId="7014FCD3" w14:textId="77777777" w:rsidR="00761AE5" w:rsidRPr="00B251A0" w:rsidRDefault="00761AE5" w:rsidP="00761AE5">
            <w:pPr>
              <w:rPr>
                <w:rFonts w:cs="Arial"/>
                <w:b/>
                <w:bCs/>
              </w:rPr>
            </w:pPr>
            <w:r w:rsidRPr="00B251A0">
              <w:rPr>
                <w:b/>
                <w:bCs/>
              </w:rPr>
              <w:t>Policy</w:t>
            </w:r>
          </w:p>
        </w:tc>
        <w:tc>
          <w:tcPr>
            <w:tcW w:w="5760" w:type="dxa"/>
          </w:tcPr>
          <w:p w14:paraId="70340EFB" w14:textId="77777777" w:rsidR="00761AE5" w:rsidRPr="00B251A0" w:rsidRDefault="00761AE5" w:rsidP="00761AE5">
            <w:pPr>
              <w:rPr>
                <w:rFonts w:cs="Arial"/>
                <w:b/>
                <w:bCs/>
              </w:rPr>
            </w:pPr>
            <w:r w:rsidRPr="00B251A0">
              <w:rPr>
                <w:b/>
                <w:bCs/>
              </w:rPr>
              <w:t>Your comments</w:t>
            </w:r>
          </w:p>
        </w:tc>
      </w:tr>
      <w:tr w:rsidR="006334E3" w:rsidRPr="00B251A0" w14:paraId="0C6A40D7" w14:textId="77777777" w:rsidTr="00761AE5">
        <w:tc>
          <w:tcPr>
            <w:tcW w:w="3256" w:type="dxa"/>
          </w:tcPr>
          <w:p w14:paraId="6C5D5B3A" w14:textId="1D9CFB46" w:rsidR="006334E3" w:rsidRPr="00B251A0" w:rsidRDefault="006334E3" w:rsidP="00761AE5">
            <w:pPr>
              <w:rPr>
                <w:rFonts w:cs="Arial"/>
              </w:rPr>
            </w:pPr>
            <w:r w:rsidRPr="00B251A0">
              <w:rPr>
                <w:rFonts w:cs="Arial"/>
              </w:rPr>
              <w:t>Cambridge urban area - general comments</w:t>
            </w:r>
          </w:p>
        </w:tc>
        <w:tc>
          <w:tcPr>
            <w:tcW w:w="5760" w:type="dxa"/>
          </w:tcPr>
          <w:p w14:paraId="5481A380" w14:textId="77777777" w:rsidR="006334E3" w:rsidRPr="00B251A0" w:rsidRDefault="006334E3" w:rsidP="00761AE5">
            <w:pPr>
              <w:rPr>
                <w:rFonts w:cs="Arial"/>
              </w:rPr>
            </w:pPr>
          </w:p>
        </w:tc>
      </w:tr>
      <w:tr w:rsidR="00761AE5" w:rsidRPr="00B251A0" w14:paraId="22A6CAB2" w14:textId="001D457D" w:rsidTr="00761AE5">
        <w:tc>
          <w:tcPr>
            <w:tcW w:w="3256" w:type="dxa"/>
          </w:tcPr>
          <w:p w14:paraId="55C5DC71" w14:textId="77777777" w:rsidR="00761AE5" w:rsidRPr="00B251A0" w:rsidRDefault="00761AE5" w:rsidP="00761AE5">
            <w:pPr>
              <w:rPr>
                <w:rFonts w:cs="Arial"/>
              </w:rPr>
            </w:pPr>
            <w:r w:rsidRPr="00B251A0">
              <w:rPr>
                <w:rFonts w:cs="Arial"/>
              </w:rPr>
              <w:t>S/NEC: North East Cambridge</w:t>
            </w:r>
          </w:p>
        </w:tc>
        <w:tc>
          <w:tcPr>
            <w:tcW w:w="5760" w:type="dxa"/>
          </w:tcPr>
          <w:p w14:paraId="7DFF8640" w14:textId="77777777" w:rsidR="00761AE5" w:rsidRPr="00B251A0" w:rsidRDefault="00761AE5" w:rsidP="00761AE5">
            <w:pPr>
              <w:rPr>
                <w:rFonts w:cs="Arial"/>
              </w:rPr>
            </w:pPr>
          </w:p>
        </w:tc>
      </w:tr>
      <w:tr w:rsidR="00761AE5" w:rsidRPr="00B251A0" w14:paraId="626B4612" w14:textId="4ECE4E25" w:rsidTr="00761AE5">
        <w:tc>
          <w:tcPr>
            <w:tcW w:w="3256" w:type="dxa"/>
          </w:tcPr>
          <w:p w14:paraId="73BADADD" w14:textId="77777777" w:rsidR="00761AE5" w:rsidRPr="00B251A0" w:rsidRDefault="00761AE5" w:rsidP="00761AE5">
            <w:pPr>
              <w:rPr>
                <w:rFonts w:cs="Arial"/>
              </w:rPr>
            </w:pPr>
            <w:r w:rsidRPr="00B251A0">
              <w:rPr>
                <w:rFonts w:cs="Arial"/>
              </w:rPr>
              <w:lastRenderedPageBreak/>
              <w:t>S/AMC: Areas of Major Change</w:t>
            </w:r>
          </w:p>
        </w:tc>
        <w:tc>
          <w:tcPr>
            <w:tcW w:w="5760" w:type="dxa"/>
          </w:tcPr>
          <w:p w14:paraId="5B98C445" w14:textId="77777777" w:rsidR="00761AE5" w:rsidRPr="00B251A0" w:rsidRDefault="00761AE5" w:rsidP="00761AE5">
            <w:pPr>
              <w:rPr>
                <w:rFonts w:cs="Arial"/>
              </w:rPr>
            </w:pPr>
          </w:p>
        </w:tc>
      </w:tr>
      <w:tr w:rsidR="00761AE5" w:rsidRPr="00B251A0" w14:paraId="748A8937" w14:textId="0EAE7B50" w:rsidTr="00761AE5">
        <w:tc>
          <w:tcPr>
            <w:tcW w:w="3256" w:type="dxa"/>
          </w:tcPr>
          <w:p w14:paraId="486C0F0F" w14:textId="77777777" w:rsidR="00761AE5" w:rsidRPr="00B251A0" w:rsidRDefault="00761AE5" w:rsidP="00761AE5">
            <w:pPr>
              <w:rPr>
                <w:rFonts w:cs="Arial"/>
              </w:rPr>
            </w:pPr>
            <w:r w:rsidRPr="00B251A0">
              <w:rPr>
                <w:rFonts w:cs="Arial"/>
              </w:rPr>
              <w:t>S/OA: Opportunity Areas in Cambridge</w:t>
            </w:r>
          </w:p>
        </w:tc>
        <w:tc>
          <w:tcPr>
            <w:tcW w:w="5760" w:type="dxa"/>
          </w:tcPr>
          <w:p w14:paraId="56BD6349" w14:textId="77777777" w:rsidR="00761AE5" w:rsidRPr="00B251A0" w:rsidRDefault="00761AE5" w:rsidP="00761AE5">
            <w:pPr>
              <w:rPr>
                <w:rFonts w:cs="Arial"/>
              </w:rPr>
            </w:pPr>
          </w:p>
        </w:tc>
      </w:tr>
      <w:tr w:rsidR="00761AE5" w:rsidRPr="00B251A0" w14:paraId="141E5F89" w14:textId="3A96BC57" w:rsidTr="00761AE5">
        <w:tc>
          <w:tcPr>
            <w:tcW w:w="3256" w:type="dxa"/>
          </w:tcPr>
          <w:p w14:paraId="01BEE9DC" w14:textId="77777777" w:rsidR="00761AE5" w:rsidRPr="00B251A0" w:rsidRDefault="00761AE5" w:rsidP="00761AE5">
            <w:pPr>
              <w:rPr>
                <w:rFonts w:cs="Arial"/>
              </w:rPr>
            </w:pPr>
            <w:r w:rsidRPr="00B251A0">
              <w:rPr>
                <w:rFonts w:cs="Arial"/>
              </w:rPr>
              <w:t>S/LAC: Land allocations in Cambridge</w:t>
            </w:r>
          </w:p>
        </w:tc>
        <w:tc>
          <w:tcPr>
            <w:tcW w:w="5760" w:type="dxa"/>
          </w:tcPr>
          <w:p w14:paraId="43C420C2" w14:textId="77777777" w:rsidR="00761AE5" w:rsidRPr="00B251A0" w:rsidRDefault="00761AE5" w:rsidP="00761AE5">
            <w:pPr>
              <w:rPr>
                <w:rFonts w:cs="Arial"/>
              </w:rPr>
            </w:pPr>
          </w:p>
        </w:tc>
      </w:tr>
    </w:tbl>
    <w:p w14:paraId="5181EB98" w14:textId="003813C5" w:rsidR="00761AE5" w:rsidRPr="00B251A0" w:rsidRDefault="00761AE5"/>
    <w:p w14:paraId="025B0F1D" w14:textId="65B2D9FC" w:rsidR="00761AE5" w:rsidRPr="00B251A0" w:rsidRDefault="00761AE5" w:rsidP="00761AE5">
      <w:pPr>
        <w:pStyle w:val="Heading2"/>
      </w:pPr>
      <w:r w:rsidRPr="00B251A0">
        <w:t xml:space="preserve">Edge of Cambridge </w:t>
      </w:r>
    </w:p>
    <w:tbl>
      <w:tblPr>
        <w:tblStyle w:val="TableGrid"/>
        <w:tblW w:w="0" w:type="auto"/>
        <w:tblLook w:val="04A0" w:firstRow="1" w:lastRow="0" w:firstColumn="1" w:lastColumn="0" w:noHBand="0" w:noVBand="1"/>
      </w:tblPr>
      <w:tblGrid>
        <w:gridCol w:w="3256"/>
        <w:gridCol w:w="5760"/>
      </w:tblGrid>
      <w:tr w:rsidR="00761AE5" w:rsidRPr="00B251A0" w14:paraId="0FECB831" w14:textId="77777777" w:rsidTr="00D238FC">
        <w:tc>
          <w:tcPr>
            <w:tcW w:w="3256" w:type="dxa"/>
          </w:tcPr>
          <w:p w14:paraId="29966013" w14:textId="77777777" w:rsidR="00761AE5" w:rsidRPr="00B251A0" w:rsidRDefault="00761AE5" w:rsidP="00D238FC">
            <w:pPr>
              <w:rPr>
                <w:rFonts w:cs="Arial"/>
                <w:b/>
                <w:bCs/>
              </w:rPr>
            </w:pPr>
            <w:r w:rsidRPr="00B251A0">
              <w:rPr>
                <w:b/>
                <w:bCs/>
              </w:rPr>
              <w:t>Policy</w:t>
            </w:r>
          </w:p>
        </w:tc>
        <w:tc>
          <w:tcPr>
            <w:tcW w:w="5760" w:type="dxa"/>
          </w:tcPr>
          <w:p w14:paraId="08F090B9" w14:textId="77777777" w:rsidR="00761AE5" w:rsidRPr="00B251A0" w:rsidRDefault="00761AE5" w:rsidP="00D238FC">
            <w:pPr>
              <w:rPr>
                <w:rFonts w:cs="Arial"/>
                <w:b/>
                <w:bCs/>
              </w:rPr>
            </w:pPr>
            <w:r w:rsidRPr="00B251A0">
              <w:rPr>
                <w:b/>
                <w:bCs/>
              </w:rPr>
              <w:t>Your comments</w:t>
            </w:r>
          </w:p>
        </w:tc>
      </w:tr>
      <w:tr w:rsidR="006334E3" w:rsidRPr="00B251A0" w14:paraId="2323F0E6" w14:textId="77777777" w:rsidTr="00D238FC">
        <w:tc>
          <w:tcPr>
            <w:tcW w:w="3256" w:type="dxa"/>
          </w:tcPr>
          <w:p w14:paraId="627455E7" w14:textId="171D08F8" w:rsidR="006334E3" w:rsidRPr="00B251A0" w:rsidRDefault="006334E3" w:rsidP="00D238FC">
            <w:pPr>
              <w:rPr>
                <w:rFonts w:cs="Arial"/>
              </w:rPr>
            </w:pPr>
            <w:r w:rsidRPr="00B251A0">
              <w:rPr>
                <w:rFonts w:cs="Arial"/>
              </w:rPr>
              <w:t>Edge of Cambridge - general comments</w:t>
            </w:r>
          </w:p>
        </w:tc>
        <w:tc>
          <w:tcPr>
            <w:tcW w:w="5760" w:type="dxa"/>
          </w:tcPr>
          <w:p w14:paraId="24105F47" w14:textId="77777777" w:rsidR="006334E3" w:rsidRPr="00B251A0" w:rsidRDefault="006334E3" w:rsidP="00D238FC">
            <w:pPr>
              <w:rPr>
                <w:rFonts w:cs="Arial"/>
              </w:rPr>
            </w:pPr>
          </w:p>
        </w:tc>
      </w:tr>
      <w:tr w:rsidR="00761AE5" w:rsidRPr="00B251A0" w14:paraId="088DA8B0" w14:textId="5A9BD115" w:rsidTr="00761AE5">
        <w:tc>
          <w:tcPr>
            <w:tcW w:w="3256" w:type="dxa"/>
          </w:tcPr>
          <w:p w14:paraId="13503F00" w14:textId="77777777" w:rsidR="00761AE5" w:rsidRPr="00B251A0" w:rsidRDefault="00761AE5" w:rsidP="00761AE5">
            <w:pPr>
              <w:rPr>
                <w:rFonts w:cs="Arial"/>
              </w:rPr>
            </w:pPr>
            <w:r w:rsidRPr="00B251A0">
              <w:rPr>
                <w:rFonts w:cs="Arial"/>
              </w:rPr>
              <w:t>S/CE: Cambridge East</w:t>
            </w:r>
          </w:p>
        </w:tc>
        <w:tc>
          <w:tcPr>
            <w:tcW w:w="5760" w:type="dxa"/>
          </w:tcPr>
          <w:p w14:paraId="26B10472" w14:textId="77777777" w:rsidR="00761AE5" w:rsidRPr="00B251A0" w:rsidRDefault="00761AE5" w:rsidP="00761AE5">
            <w:pPr>
              <w:rPr>
                <w:rFonts w:cs="Arial"/>
              </w:rPr>
            </w:pPr>
          </w:p>
        </w:tc>
      </w:tr>
      <w:tr w:rsidR="00761AE5" w:rsidRPr="00B251A0" w14:paraId="6AAD843D" w14:textId="70045FE1" w:rsidTr="00761AE5">
        <w:tc>
          <w:tcPr>
            <w:tcW w:w="3256" w:type="dxa"/>
          </w:tcPr>
          <w:p w14:paraId="3D8D2411" w14:textId="77777777" w:rsidR="00761AE5" w:rsidRPr="00B251A0" w:rsidRDefault="00761AE5" w:rsidP="00761AE5">
            <w:pPr>
              <w:rPr>
                <w:rFonts w:cs="Arial"/>
              </w:rPr>
            </w:pPr>
            <w:r w:rsidRPr="00B251A0">
              <w:rPr>
                <w:rFonts w:cs="Arial"/>
              </w:rPr>
              <w:t>S/NWC: North West Cambridge</w:t>
            </w:r>
          </w:p>
        </w:tc>
        <w:tc>
          <w:tcPr>
            <w:tcW w:w="5760" w:type="dxa"/>
          </w:tcPr>
          <w:p w14:paraId="72DF2C1A" w14:textId="77777777" w:rsidR="00761AE5" w:rsidRPr="00B251A0" w:rsidRDefault="00761AE5" w:rsidP="00761AE5">
            <w:pPr>
              <w:rPr>
                <w:rFonts w:cs="Arial"/>
              </w:rPr>
            </w:pPr>
          </w:p>
        </w:tc>
      </w:tr>
      <w:tr w:rsidR="00761AE5" w:rsidRPr="00B251A0" w14:paraId="14A45428" w14:textId="76ABDAE7" w:rsidTr="00761AE5">
        <w:tc>
          <w:tcPr>
            <w:tcW w:w="3256" w:type="dxa"/>
          </w:tcPr>
          <w:p w14:paraId="1DB71B70" w14:textId="77777777" w:rsidR="00761AE5" w:rsidRPr="00B251A0" w:rsidRDefault="00761AE5" w:rsidP="00761AE5">
            <w:pPr>
              <w:rPr>
                <w:rFonts w:cs="Arial"/>
              </w:rPr>
            </w:pPr>
            <w:r w:rsidRPr="00B251A0">
              <w:rPr>
                <w:rFonts w:cs="Arial"/>
              </w:rPr>
              <w:t>S/CBC: Cambridge Biomedical Campus</w:t>
            </w:r>
          </w:p>
        </w:tc>
        <w:tc>
          <w:tcPr>
            <w:tcW w:w="5760" w:type="dxa"/>
          </w:tcPr>
          <w:p w14:paraId="39F9BAB1" w14:textId="77777777" w:rsidR="00761AE5" w:rsidRPr="00B251A0" w:rsidRDefault="00761AE5" w:rsidP="00761AE5">
            <w:pPr>
              <w:rPr>
                <w:rFonts w:cs="Arial"/>
              </w:rPr>
            </w:pPr>
          </w:p>
        </w:tc>
      </w:tr>
      <w:tr w:rsidR="00761AE5" w:rsidRPr="00B251A0" w14:paraId="6DA935BA" w14:textId="3C7BEBFF" w:rsidTr="00761AE5">
        <w:tc>
          <w:tcPr>
            <w:tcW w:w="3256" w:type="dxa"/>
          </w:tcPr>
          <w:p w14:paraId="7F3D4C68" w14:textId="77777777" w:rsidR="00761AE5" w:rsidRPr="00B251A0" w:rsidRDefault="00761AE5" w:rsidP="00761AE5">
            <w:pPr>
              <w:rPr>
                <w:rFonts w:cs="Arial"/>
              </w:rPr>
            </w:pPr>
            <w:r w:rsidRPr="00B251A0">
              <w:rPr>
                <w:rFonts w:cs="Arial"/>
              </w:rPr>
              <w:t>S/WC: West Cambridge</w:t>
            </w:r>
          </w:p>
        </w:tc>
        <w:tc>
          <w:tcPr>
            <w:tcW w:w="5760" w:type="dxa"/>
          </w:tcPr>
          <w:p w14:paraId="79196B5A" w14:textId="77777777" w:rsidR="00761AE5" w:rsidRPr="00B251A0" w:rsidRDefault="00761AE5" w:rsidP="00761AE5">
            <w:pPr>
              <w:rPr>
                <w:rFonts w:cs="Arial"/>
              </w:rPr>
            </w:pPr>
          </w:p>
        </w:tc>
      </w:tr>
      <w:tr w:rsidR="00761AE5" w:rsidRPr="00B251A0" w14:paraId="1A5B6637" w14:textId="5F38541A" w:rsidTr="00761AE5">
        <w:tc>
          <w:tcPr>
            <w:tcW w:w="3256" w:type="dxa"/>
          </w:tcPr>
          <w:p w14:paraId="0F7F1BD5" w14:textId="77777777" w:rsidR="00761AE5" w:rsidRPr="00B251A0" w:rsidRDefault="00761AE5" w:rsidP="00761AE5">
            <w:pPr>
              <w:rPr>
                <w:rFonts w:cs="Arial"/>
              </w:rPr>
            </w:pPr>
            <w:r w:rsidRPr="00B251A0">
              <w:rPr>
                <w:rFonts w:cs="Arial"/>
              </w:rPr>
              <w:t>S/EOC: Other existing allocations on the edge of Cambridge</w:t>
            </w:r>
          </w:p>
        </w:tc>
        <w:tc>
          <w:tcPr>
            <w:tcW w:w="5760" w:type="dxa"/>
          </w:tcPr>
          <w:p w14:paraId="0EFF65C1" w14:textId="77777777" w:rsidR="00761AE5" w:rsidRPr="00B251A0" w:rsidRDefault="00761AE5" w:rsidP="00761AE5">
            <w:pPr>
              <w:rPr>
                <w:rFonts w:cs="Arial"/>
              </w:rPr>
            </w:pPr>
          </w:p>
        </w:tc>
      </w:tr>
    </w:tbl>
    <w:p w14:paraId="0762DF02" w14:textId="2C1178A2" w:rsidR="00761AE5" w:rsidRPr="00B251A0" w:rsidRDefault="00761AE5"/>
    <w:p w14:paraId="354D9C12" w14:textId="368D4C3F" w:rsidR="00761AE5" w:rsidRPr="00B251A0" w:rsidRDefault="00761AE5" w:rsidP="00761AE5">
      <w:pPr>
        <w:pStyle w:val="Heading2"/>
      </w:pPr>
      <w:r w:rsidRPr="00B251A0">
        <w:t xml:space="preserve">New settlements </w:t>
      </w:r>
    </w:p>
    <w:tbl>
      <w:tblPr>
        <w:tblStyle w:val="TableGrid"/>
        <w:tblW w:w="0" w:type="auto"/>
        <w:tblLook w:val="04A0" w:firstRow="1" w:lastRow="0" w:firstColumn="1" w:lastColumn="0" w:noHBand="0" w:noVBand="1"/>
      </w:tblPr>
      <w:tblGrid>
        <w:gridCol w:w="3256"/>
        <w:gridCol w:w="5760"/>
      </w:tblGrid>
      <w:tr w:rsidR="00761AE5" w:rsidRPr="00B251A0" w14:paraId="2832486E" w14:textId="77777777" w:rsidTr="00D238FC">
        <w:tc>
          <w:tcPr>
            <w:tcW w:w="3256" w:type="dxa"/>
          </w:tcPr>
          <w:p w14:paraId="771213D5" w14:textId="77777777" w:rsidR="00761AE5" w:rsidRPr="00B251A0" w:rsidRDefault="00761AE5" w:rsidP="00D238FC">
            <w:pPr>
              <w:rPr>
                <w:rFonts w:cs="Arial"/>
                <w:b/>
                <w:bCs/>
              </w:rPr>
            </w:pPr>
            <w:r w:rsidRPr="00B251A0">
              <w:rPr>
                <w:b/>
                <w:bCs/>
              </w:rPr>
              <w:t>Policy</w:t>
            </w:r>
          </w:p>
        </w:tc>
        <w:tc>
          <w:tcPr>
            <w:tcW w:w="5760" w:type="dxa"/>
          </w:tcPr>
          <w:p w14:paraId="0B8FD6DB" w14:textId="77777777" w:rsidR="00761AE5" w:rsidRPr="00B251A0" w:rsidRDefault="00761AE5" w:rsidP="00D238FC">
            <w:pPr>
              <w:rPr>
                <w:rFonts w:cs="Arial"/>
                <w:b/>
                <w:bCs/>
              </w:rPr>
            </w:pPr>
            <w:r w:rsidRPr="00B251A0">
              <w:rPr>
                <w:b/>
                <w:bCs/>
              </w:rPr>
              <w:t>Your comments</w:t>
            </w:r>
          </w:p>
        </w:tc>
      </w:tr>
      <w:tr w:rsidR="006334E3" w:rsidRPr="00B251A0" w14:paraId="7B9E9BB3" w14:textId="77777777" w:rsidTr="00D238FC">
        <w:tc>
          <w:tcPr>
            <w:tcW w:w="3256" w:type="dxa"/>
          </w:tcPr>
          <w:p w14:paraId="4FEDD275" w14:textId="338C4CD0" w:rsidR="006334E3" w:rsidRPr="00B251A0" w:rsidRDefault="006334E3" w:rsidP="00D238FC">
            <w:pPr>
              <w:rPr>
                <w:rFonts w:cs="Arial"/>
              </w:rPr>
            </w:pPr>
            <w:r w:rsidRPr="00B251A0">
              <w:rPr>
                <w:rFonts w:cs="Arial"/>
              </w:rPr>
              <w:t>New settlements - general comments</w:t>
            </w:r>
          </w:p>
        </w:tc>
        <w:tc>
          <w:tcPr>
            <w:tcW w:w="5760" w:type="dxa"/>
          </w:tcPr>
          <w:p w14:paraId="71AFAD77" w14:textId="77777777" w:rsidR="006334E3" w:rsidRPr="00B251A0" w:rsidRDefault="006334E3" w:rsidP="00D238FC">
            <w:pPr>
              <w:rPr>
                <w:rFonts w:cs="Arial"/>
              </w:rPr>
            </w:pPr>
          </w:p>
        </w:tc>
      </w:tr>
      <w:tr w:rsidR="00761AE5" w:rsidRPr="00B251A0" w14:paraId="7AF64BDA" w14:textId="5C05B15F" w:rsidTr="00761AE5">
        <w:tc>
          <w:tcPr>
            <w:tcW w:w="3256" w:type="dxa"/>
          </w:tcPr>
          <w:p w14:paraId="46E28432" w14:textId="77777777" w:rsidR="00761AE5" w:rsidRPr="00B251A0" w:rsidRDefault="00761AE5" w:rsidP="00761AE5">
            <w:pPr>
              <w:rPr>
                <w:rFonts w:cs="Arial"/>
              </w:rPr>
            </w:pPr>
            <w:r w:rsidRPr="00B251A0">
              <w:rPr>
                <w:rFonts w:cs="Arial"/>
              </w:rPr>
              <w:t>S/CB: Cambourne</w:t>
            </w:r>
          </w:p>
        </w:tc>
        <w:tc>
          <w:tcPr>
            <w:tcW w:w="5760" w:type="dxa"/>
          </w:tcPr>
          <w:p w14:paraId="0F76F192" w14:textId="7A2B90F7" w:rsidR="00785C21" w:rsidRPr="00B251A0" w:rsidRDefault="00217676" w:rsidP="00F86B38">
            <w:pPr>
              <w:pStyle w:val="ListParagraph"/>
              <w:numPr>
                <w:ilvl w:val="0"/>
                <w:numId w:val="23"/>
              </w:numPr>
              <w:shd w:val="clear" w:color="auto" w:fill="FFFFFF"/>
              <w:spacing w:after="100" w:afterAutospacing="1" w:line="240" w:lineRule="auto"/>
              <w:outlineLvl w:val="0"/>
              <w:rPr>
                <w:rFonts w:eastAsia="Times New Roman" w:cs="Arial"/>
                <w:color w:val="4472C4" w:themeColor="accent1"/>
                <w:kern w:val="36"/>
                <w:sz w:val="20"/>
                <w:szCs w:val="20"/>
                <w:lang w:eastAsia="en-GB"/>
              </w:rPr>
            </w:pPr>
            <w:r w:rsidRPr="00B251A0">
              <w:rPr>
                <w:rFonts w:eastAsia="Times New Roman" w:cs="Arial"/>
                <w:color w:val="4472C4" w:themeColor="accent1"/>
                <w:kern w:val="36"/>
                <w:sz w:val="20"/>
                <w:szCs w:val="20"/>
                <w:lang w:eastAsia="en-GB"/>
              </w:rPr>
              <w:t>Figure 7.1 (Combined Broad Opportunities Map) of the Greater Cambridge Green Infrastructure Opportunity Mapping Bas</w:t>
            </w:r>
            <w:r w:rsidR="00E53937" w:rsidRPr="00B251A0">
              <w:rPr>
                <w:rFonts w:eastAsia="Times New Roman" w:cs="Arial"/>
                <w:color w:val="4472C4" w:themeColor="accent1"/>
                <w:kern w:val="36"/>
                <w:sz w:val="20"/>
                <w:szCs w:val="20"/>
                <w:lang w:eastAsia="en-GB"/>
              </w:rPr>
              <w:t>e</w:t>
            </w:r>
            <w:r w:rsidRPr="00B251A0">
              <w:rPr>
                <w:rFonts w:eastAsia="Times New Roman" w:cs="Arial"/>
                <w:color w:val="4472C4" w:themeColor="accent1"/>
                <w:kern w:val="36"/>
                <w:sz w:val="20"/>
                <w:szCs w:val="20"/>
                <w:lang w:eastAsia="en-GB"/>
              </w:rPr>
              <w:t xml:space="preserve">line Report (November 2020) shows </w:t>
            </w:r>
            <w:r w:rsidR="00E53937" w:rsidRPr="00B251A0">
              <w:rPr>
                <w:rFonts w:eastAsia="Times New Roman" w:cs="Arial"/>
                <w:color w:val="4472C4" w:themeColor="accent1"/>
                <w:kern w:val="36"/>
                <w:sz w:val="20"/>
                <w:szCs w:val="20"/>
                <w:lang w:eastAsia="en-GB"/>
              </w:rPr>
              <w:t xml:space="preserve">proposed allocation S/CB: Cambourne as lying within five green infrastructure </w:t>
            </w:r>
            <w:r w:rsidR="001274E2" w:rsidRPr="00B251A0">
              <w:rPr>
                <w:rFonts w:eastAsia="Times New Roman" w:cs="Arial"/>
                <w:color w:val="4472C4" w:themeColor="accent1"/>
                <w:kern w:val="36"/>
                <w:sz w:val="20"/>
                <w:szCs w:val="20"/>
                <w:lang w:eastAsia="en-GB"/>
              </w:rPr>
              <w:t xml:space="preserve">theme </w:t>
            </w:r>
            <w:r w:rsidR="00E53937" w:rsidRPr="00B251A0">
              <w:rPr>
                <w:rFonts w:eastAsia="Times New Roman" w:cs="Arial"/>
                <w:color w:val="4472C4" w:themeColor="accent1"/>
                <w:kern w:val="36"/>
                <w:sz w:val="20"/>
                <w:szCs w:val="20"/>
                <w:lang w:eastAsia="en-GB"/>
              </w:rPr>
              <w:t xml:space="preserve">areas. Papworth Everard, however, is shown to fall within only </w:t>
            </w:r>
            <w:r w:rsidR="007247BF" w:rsidRPr="00B251A0">
              <w:rPr>
                <w:rFonts w:eastAsia="Times New Roman" w:cs="Arial"/>
                <w:color w:val="4472C4" w:themeColor="accent1"/>
                <w:kern w:val="36"/>
                <w:sz w:val="20"/>
                <w:szCs w:val="20"/>
                <w:lang w:eastAsia="en-GB"/>
              </w:rPr>
              <w:t>three</w:t>
            </w:r>
            <w:r w:rsidR="00E53937" w:rsidRPr="00B251A0">
              <w:rPr>
                <w:rFonts w:eastAsia="Times New Roman" w:cs="Arial"/>
                <w:color w:val="4472C4" w:themeColor="accent1"/>
                <w:kern w:val="36"/>
                <w:sz w:val="20"/>
                <w:szCs w:val="20"/>
                <w:lang w:eastAsia="en-GB"/>
              </w:rPr>
              <w:t xml:space="preserve"> green infrastructure areas. In terms of environmental impact </w:t>
            </w:r>
            <w:r w:rsidR="00E53937" w:rsidRPr="00B251A0">
              <w:rPr>
                <w:rFonts w:eastAsia="Times New Roman" w:cs="Arial"/>
                <w:color w:val="4472C4" w:themeColor="accent1"/>
                <w:kern w:val="36"/>
                <w:sz w:val="20"/>
                <w:szCs w:val="20"/>
                <w:lang w:eastAsia="en-GB"/>
              </w:rPr>
              <w:lastRenderedPageBreak/>
              <w:t>therefore, this makes Papworth Everard one of the lowest impact locations for development along the A428/E-W Rail/OxCam Arc corridor within Greater Cambridge.</w:t>
            </w:r>
            <w:r w:rsidR="00785C21" w:rsidRPr="00B251A0">
              <w:rPr>
                <w:rFonts w:eastAsia="Times New Roman" w:cs="Arial"/>
                <w:color w:val="4472C4" w:themeColor="accent1"/>
                <w:kern w:val="36"/>
                <w:sz w:val="20"/>
                <w:szCs w:val="20"/>
                <w:lang w:eastAsia="en-GB"/>
              </w:rPr>
              <w:t xml:space="preserve"> </w:t>
            </w:r>
            <w:r w:rsidR="001274E2" w:rsidRPr="00B251A0">
              <w:rPr>
                <w:rFonts w:eastAsia="Times New Roman" w:cs="Arial"/>
                <w:color w:val="4472C4" w:themeColor="accent1"/>
                <w:kern w:val="36"/>
                <w:sz w:val="20"/>
                <w:szCs w:val="20"/>
                <w:lang w:eastAsia="en-GB"/>
              </w:rPr>
              <w:t>As a result,</w:t>
            </w:r>
            <w:r w:rsidR="00785C21" w:rsidRPr="00B251A0">
              <w:rPr>
                <w:rFonts w:eastAsia="Times New Roman" w:cs="Arial"/>
                <w:color w:val="4472C4" w:themeColor="accent1"/>
                <w:kern w:val="36"/>
                <w:sz w:val="20"/>
                <w:szCs w:val="20"/>
                <w:lang w:eastAsia="en-GB"/>
              </w:rPr>
              <w:t xml:space="preserve"> in addition to the </w:t>
            </w:r>
            <w:r w:rsidR="001274E2" w:rsidRPr="00B251A0">
              <w:rPr>
                <w:rFonts w:eastAsia="Times New Roman" w:cs="Arial"/>
                <w:color w:val="4472C4" w:themeColor="accent1"/>
                <w:kern w:val="36"/>
                <w:sz w:val="20"/>
                <w:szCs w:val="20"/>
                <w:lang w:eastAsia="en-GB"/>
              </w:rPr>
              <w:t xml:space="preserve">following </w:t>
            </w:r>
            <w:r w:rsidR="00785C21" w:rsidRPr="00B251A0">
              <w:rPr>
                <w:rFonts w:eastAsia="Times New Roman" w:cs="Arial"/>
                <w:color w:val="4472C4" w:themeColor="accent1"/>
                <w:kern w:val="36"/>
                <w:sz w:val="20"/>
                <w:szCs w:val="20"/>
                <w:lang w:eastAsia="en-GB"/>
              </w:rPr>
              <w:t>reasons</w:t>
            </w:r>
            <w:r w:rsidR="001274E2" w:rsidRPr="00B251A0">
              <w:rPr>
                <w:rFonts w:eastAsia="Times New Roman" w:cs="Arial"/>
                <w:color w:val="4472C4" w:themeColor="accent1"/>
                <w:kern w:val="36"/>
                <w:sz w:val="20"/>
                <w:szCs w:val="20"/>
                <w:lang w:eastAsia="en-GB"/>
              </w:rPr>
              <w:t>,</w:t>
            </w:r>
            <w:r w:rsidR="001274E2" w:rsidRPr="00B251A0">
              <w:rPr>
                <w:rFonts w:eastAsia="Times New Roman" w:cs="Arial"/>
                <w:color w:val="4472C4" w:themeColor="accent1"/>
                <w:kern w:val="36"/>
                <w:sz w:val="20"/>
                <w:szCs w:val="20"/>
                <w:lang w:eastAsia="en-GB"/>
              </w:rPr>
              <w:t xml:space="preserve"> new housing and employment allocations should be made at Papworth Everard</w:t>
            </w:r>
            <w:r w:rsidR="001274E2" w:rsidRPr="00B251A0">
              <w:rPr>
                <w:rFonts w:eastAsia="Times New Roman" w:cs="Arial"/>
                <w:color w:val="4472C4" w:themeColor="accent1"/>
                <w:kern w:val="36"/>
                <w:sz w:val="20"/>
                <w:szCs w:val="20"/>
                <w:lang w:eastAsia="en-GB"/>
              </w:rPr>
              <w:t>.</w:t>
            </w:r>
          </w:p>
          <w:p w14:paraId="486596D0" w14:textId="09D742E9" w:rsidR="001274E2" w:rsidRPr="00B251A0" w:rsidRDefault="001274E2" w:rsidP="001274E2">
            <w:pPr>
              <w:shd w:val="clear" w:color="auto" w:fill="FFFFFF"/>
              <w:spacing w:after="100" w:afterAutospacing="1" w:line="240" w:lineRule="auto"/>
              <w:ind w:left="360"/>
              <w:outlineLvl w:val="0"/>
              <w:rPr>
                <w:rFonts w:eastAsia="Times New Roman" w:cs="Arial"/>
                <w:color w:val="4472C4" w:themeColor="accent1"/>
                <w:kern w:val="36"/>
                <w:sz w:val="20"/>
                <w:szCs w:val="20"/>
                <w:lang w:eastAsia="en-GB"/>
              </w:rPr>
            </w:pPr>
            <w:r w:rsidRPr="00B251A0">
              <w:rPr>
                <w:rFonts w:eastAsia="Times New Roman" w:cs="Arial"/>
                <w:color w:val="4472C4" w:themeColor="accent1"/>
                <w:kern w:val="36"/>
                <w:sz w:val="20"/>
                <w:szCs w:val="20"/>
                <w:lang w:eastAsia="en-GB"/>
              </w:rPr>
              <w:t>Other reasons:</w:t>
            </w:r>
          </w:p>
          <w:p w14:paraId="7D6EF6B0" w14:textId="326581BF" w:rsidR="00785C21" w:rsidRPr="00B251A0" w:rsidRDefault="001274E2" w:rsidP="00094A2D">
            <w:pPr>
              <w:pStyle w:val="ListParagraph"/>
              <w:numPr>
                <w:ilvl w:val="0"/>
                <w:numId w:val="29"/>
              </w:numPr>
              <w:shd w:val="clear" w:color="auto" w:fill="FFFFFF"/>
              <w:spacing w:line="240" w:lineRule="auto"/>
              <w:rPr>
                <w:rFonts w:eastAsia="Times New Roman" w:cs="Arial"/>
                <w:color w:val="4472C4" w:themeColor="accent1"/>
                <w:kern w:val="36"/>
                <w:sz w:val="20"/>
                <w:szCs w:val="20"/>
                <w:lang w:eastAsia="en-GB"/>
              </w:rPr>
            </w:pPr>
            <w:r w:rsidRPr="00B251A0">
              <w:rPr>
                <w:rFonts w:eastAsia="Times New Roman" w:cs="Arial"/>
                <w:color w:val="4472C4" w:themeColor="accent1"/>
                <w:kern w:val="36"/>
                <w:sz w:val="20"/>
                <w:szCs w:val="20"/>
                <w:lang w:eastAsia="en-GB"/>
              </w:rPr>
              <w:t>To m</w:t>
            </w:r>
            <w:r w:rsidR="00785C21" w:rsidRPr="00B251A0">
              <w:rPr>
                <w:rFonts w:eastAsia="Times New Roman" w:cs="Arial"/>
                <w:color w:val="4472C4" w:themeColor="accent1"/>
                <w:kern w:val="36"/>
                <w:sz w:val="20"/>
                <w:szCs w:val="20"/>
                <w:lang w:eastAsia="en-GB"/>
              </w:rPr>
              <w:t>eet the housing requirement for the</w:t>
            </w:r>
            <w:r w:rsidRPr="00B251A0">
              <w:rPr>
                <w:rFonts w:eastAsia="Times New Roman" w:cs="Arial"/>
                <w:color w:val="4472C4" w:themeColor="accent1"/>
                <w:kern w:val="36"/>
                <w:sz w:val="20"/>
                <w:szCs w:val="20"/>
                <w:lang w:eastAsia="en-GB"/>
              </w:rPr>
              <w:t xml:space="preserve"> ‘First Proposals’ and subsequent drafts of the emerging local plan</w:t>
            </w:r>
            <w:r w:rsidR="00094A2D" w:rsidRPr="00B251A0">
              <w:rPr>
                <w:rFonts w:eastAsia="Times New Roman" w:cs="Arial"/>
                <w:color w:val="4472C4" w:themeColor="accent1"/>
                <w:kern w:val="36"/>
                <w:sz w:val="20"/>
                <w:szCs w:val="20"/>
                <w:lang w:eastAsia="en-GB"/>
              </w:rPr>
              <w:t xml:space="preserve">, </w:t>
            </w:r>
            <w:r w:rsidR="00785C21" w:rsidRPr="00B251A0">
              <w:rPr>
                <w:rFonts w:eastAsia="Times New Roman" w:cs="Arial"/>
                <w:color w:val="4472C4" w:themeColor="accent1"/>
                <w:kern w:val="36"/>
                <w:sz w:val="20"/>
                <w:szCs w:val="20"/>
                <w:lang w:eastAsia="en-GB"/>
              </w:rPr>
              <w:t xml:space="preserve">which should be </w:t>
            </w:r>
            <w:r w:rsidR="00094A2D" w:rsidRPr="00B251A0">
              <w:rPr>
                <w:rFonts w:cs="Arial"/>
                <w:color w:val="4472C4" w:themeColor="accent1"/>
                <w:sz w:val="20"/>
                <w:szCs w:val="20"/>
              </w:rPr>
              <w:t>increased to the higher jobs and homes scenario (the ‘Maximum continue existing patterns’ scenario - 78,000 jobs and 53,500 homes);</w:t>
            </w:r>
          </w:p>
          <w:p w14:paraId="24FABCA5" w14:textId="21E2FC60" w:rsidR="00785C21" w:rsidRPr="00B251A0" w:rsidRDefault="001274E2" w:rsidP="00094A2D">
            <w:pPr>
              <w:pStyle w:val="ListParagraph"/>
              <w:numPr>
                <w:ilvl w:val="0"/>
                <w:numId w:val="29"/>
              </w:numPr>
              <w:spacing w:line="240" w:lineRule="auto"/>
              <w:rPr>
                <w:rFonts w:eastAsia="Times New Roman" w:cs="Arial"/>
                <w:color w:val="4472C4" w:themeColor="accent1"/>
                <w:kern w:val="36"/>
                <w:sz w:val="20"/>
                <w:szCs w:val="20"/>
                <w:lang w:eastAsia="en-GB"/>
              </w:rPr>
            </w:pPr>
            <w:r w:rsidRPr="00B251A0">
              <w:rPr>
                <w:rFonts w:eastAsia="Times New Roman" w:cs="Arial"/>
                <w:color w:val="4472C4" w:themeColor="accent1"/>
                <w:kern w:val="36"/>
                <w:sz w:val="20"/>
                <w:szCs w:val="20"/>
                <w:lang w:eastAsia="en-GB"/>
              </w:rPr>
              <w:t>To provide</w:t>
            </w:r>
            <w:r w:rsidR="00785C21" w:rsidRPr="00B251A0">
              <w:rPr>
                <w:rFonts w:eastAsia="Times New Roman" w:cs="Arial"/>
                <w:color w:val="4472C4" w:themeColor="accent1"/>
                <w:kern w:val="36"/>
                <w:sz w:val="20"/>
                <w:szCs w:val="20"/>
                <w:lang w:eastAsia="en-GB"/>
              </w:rPr>
              <w:t xml:space="preserve"> greater choice in terms of the location, size, type and tenure of housing that the plan can offer;</w:t>
            </w:r>
          </w:p>
          <w:p w14:paraId="2BFD01FE" w14:textId="32FC5A86" w:rsidR="00785C21" w:rsidRPr="00B251A0" w:rsidRDefault="001274E2" w:rsidP="00094A2D">
            <w:pPr>
              <w:pStyle w:val="ListParagraph"/>
              <w:numPr>
                <w:ilvl w:val="0"/>
                <w:numId w:val="29"/>
              </w:numPr>
              <w:shd w:val="clear" w:color="auto" w:fill="FFFFFF"/>
              <w:spacing w:line="240" w:lineRule="auto"/>
              <w:rPr>
                <w:rFonts w:eastAsia="Times New Roman" w:cs="Arial"/>
                <w:color w:val="4472C4" w:themeColor="accent1"/>
                <w:kern w:val="36"/>
                <w:sz w:val="20"/>
                <w:szCs w:val="20"/>
                <w:lang w:eastAsia="en-GB"/>
              </w:rPr>
            </w:pPr>
            <w:r w:rsidRPr="00B251A0">
              <w:rPr>
                <w:rFonts w:eastAsia="Times New Roman" w:cs="Arial"/>
                <w:color w:val="4472C4" w:themeColor="accent1"/>
                <w:kern w:val="36"/>
                <w:sz w:val="20"/>
                <w:szCs w:val="20"/>
                <w:lang w:eastAsia="en-GB"/>
              </w:rPr>
              <w:t>To p</w:t>
            </w:r>
            <w:r w:rsidR="00785C21" w:rsidRPr="00B251A0">
              <w:rPr>
                <w:rFonts w:eastAsia="Times New Roman" w:cs="Arial"/>
                <w:color w:val="4472C4" w:themeColor="accent1"/>
                <w:kern w:val="36"/>
                <w:sz w:val="20"/>
                <w:szCs w:val="20"/>
                <w:lang w:eastAsia="en-GB"/>
              </w:rPr>
              <w:t>rovid</w:t>
            </w:r>
            <w:r w:rsidRPr="00B251A0">
              <w:rPr>
                <w:rFonts w:eastAsia="Times New Roman" w:cs="Arial"/>
                <w:color w:val="4472C4" w:themeColor="accent1"/>
                <w:kern w:val="36"/>
                <w:sz w:val="20"/>
                <w:szCs w:val="20"/>
                <w:lang w:eastAsia="en-GB"/>
              </w:rPr>
              <w:t>e</w:t>
            </w:r>
            <w:r w:rsidR="00785C21" w:rsidRPr="00B251A0">
              <w:rPr>
                <w:rFonts w:eastAsia="Times New Roman" w:cs="Arial"/>
                <w:color w:val="4472C4" w:themeColor="accent1"/>
                <w:kern w:val="36"/>
                <w:sz w:val="20"/>
                <w:szCs w:val="20"/>
                <w:lang w:eastAsia="en-GB"/>
              </w:rPr>
              <w:t xml:space="preserve"> greater flexibility and resilience in the Councils’ housing/development strategy</w:t>
            </w:r>
            <w:r w:rsidR="00094A2D" w:rsidRPr="00B251A0">
              <w:rPr>
                <w:rFonts w:eastAsia="Times New Roman" w:cs="Arial"/>
                <w:color w:val="4472C4" w:themeColor="accent1"/>
                <w:kern w:val="36"/>
                <w:sz w:val="20"/>
                <w:szCs w:val="20"/>
                <w:lang w:eastAsia="en-GB"/>
              </w:rPr>
              <w:t>;</w:t>
            </w:r>
          </w:p>
          <w:p w14:paraId="24FC47DA" w14:textId="02EE7A42" w:rsidR="00785C21" w:rsidRPr="00B251A0" w:rsidRDefault="00A72ABB" w:rsidP="00094A2D">
            <w:pPr>
              <w:pStyle w:val="ListParagraph"/>
              <w:numPr>
                <w:ilvl w:val="0"/>
                <w:numId w:val="29"/>
              </w:numPr>
              <w:shd w:val="clear" w:color="auto" w:fill="FFFFFF"/>
              <w:spacing w:line="240" w:lineRule="auto"/>
              <w:rPr>
                <w:rFonts w:eastAsia="Times New Roman" w:cs="Arial"/>
                <w:color w:val="4472C4" w:themeColor="accent1"/>
                <w:kern w:val="36"/>
                <w:sz w:val="20"/>
                <w:szCs w:val="20"/>
                <w:lang w:eastAsia="en-GB"/>
              </w:rPr>
            </w:pPr>
            <w:r w:rsidRPr="00B251A0">
              <w:rPr>
                <w:rFonts w:eastAsia="Times New Roman" w:cs="Arial"/>
                <w:color w:val="4472C4" w:themeColor="accent1"/>
                <w:kern w:val="36"/>
                <w:sz w:val="20"/>
                <w:szCs w:val="20"/>
                <w:lang w:eastAsia="en-GB"/>
              </w:rPr>
              <w:t>To s</w:t>
            </w:r>
            <w:r w:rsidR="00094A2D" w:rsidRPr="00B251A0">
              <w:rPr>
                <w:rFonts w:eastAsia="Times New Roman" w:cs="Arial"/>
                <w:color w:val="4472C4" w:themeColor="accent1"/>
                <w:kern w:val="36"/>
                <w:sz w:val="20"/>
                <w:szCs w:val="20"/>
                <w:lang w:eastAsia="en-GB"/>
              </w:rPr>
              <w:t>upport</w:t>
            </w:r>
            <w:r w:rsidRPr="00B251A0">
              <w:rPr>
                <w:rFonts w:eastAsia="Times New Roman" w:cs="Arial"/>
                <w:color w:val="4472C4" w:themeColor="accent1"/>
                <w:kern w:val="36"/>
                <w:sz w:val="20"/>
                <w:szCs w:val="20"/>
                <w:lang w:eastAsia="en-GB"/>
              </w:rPr>
              <w:t xml:space="preserve"> </w:t>
            </w:r>
            <w:r w:rsidR="00094A2D" w:rsidRPr="00B251A0">
              <w:rPr>
                <w:rFonts w:eastAsia="Times New Roman" w:cs="Arial"/>
                <w:color w:val="4472C4" w:themeColor="accent1"/>
                <w:kern w:val="36"/>
                <w:sz w:val="20"/>
                <w:szCs w:val="20"/>
                <w:lang w:eastAsia="en-GB"/>
              </w:rPr>
              <w:t>rural communities (like Papworth Everard) and help them to thrive; and</w:t>
            </w:r>
          </w:p>
          <w:p w14:paraId="49541A56" w14:textId="0E42FE0B" w:rsidR="00785C21" w:rsidRPr="00B251A0" w:rsidRDefault="00A72ABB" w:rsidP="00094A2D">
            <w:pPr>
              <w:pStyle w:val="ListParagraph"/>
              <w:numPr>
                <w:ilvl w:val="0"/>
                <w:numId w:val="29"/>
              </w:numPr>
              <w:shd w:val="clear" w:color="auto" w:fill="FFFFFF"/>
              <w:spacing w:line="240" w:lineRule="auto"/>
              <w:rPr>
                <w:rFonts w:eastAsia="Times New Roman" w:cs="Arial"/>
                <w:color w:val="4472C4" w:themeColor="accent1"/>
                <w:kern w:val="36"/>
                <w:sz w:val="20"/>
                <w:szCs w:val="20"/>
                <w:lang w:eastAsia="en-GB"/>
              </w:rPr>
            </w:pPr>
            <w:r w:rsidRPr="00B251A0">
              <w:rPr>
                <w:rFonts w:eastAsia="Times New Roman" w:cs="Arial"/>
                <w:color w:val="4472C4" w:themeColor="accent1"/>
                <w:kern w:val="36"/>
                <w:sz w:val="20"/>
                <w:szCs w:val="20"/>
                <w:lang w:eastAsia="en-GB"/>
              </w:rPr>
              <w:t>To s</w:t>
            </w:r>
            <w:r w:rsidR="00094A2D" w:rsidRPr="00B251A0">
              <w:rPr>
                <w:rFonts w:eastAsia="Times New Roman" w:cs="Arial"/>
                <w:color w:val="4472C4" w:themeColor="accent1"/>
                <w:kern w:val="36"/>
                <w:sz w:val="20"/>
                <w:szCs w:val="20"/>
                <w:lang w:eastAsia="en-GB"/>
              </w:rPr>
              <w:t>upport the successful delivery of the A428/E-W Rail/Ox</w:t>
            </w:r>
            <w:r w:rsidR="004E3D2C" w:rsidRPr="00B251A0">
              <w:rPr>
                <w:rFonts w:eastAsia="Times New Roman" w:cs="Arial"/>
                <w:color w:val="4472C4" w:themeColor="accent1"/>
                <w:kern w:val="36"/>
                <w:sz w:val="20"/>
                <w:szCs w:val="20"/>
                <w:lang w:eastAsia="en-GB"/>
              </w:rPr>
              <w:t>C</w:t>
            </w:r>
            <w:r w:rsidR="00094A2D" w:rsidRPr="00B251A0">
              <w:rPr>
                <w:rFonts w:eastAsia="Times New Roman" w:cs="Arial"/>
                <w:color w:val="4472C4" w:themeColor="accent1"/>
                <w:kern w:val="36"/>
                <w:sz w:val="20"/>
                <w:szCs w:val="20"/>
                <w:lang w:eastAsia="en-GB"/>
              </w:rPr>
              <w:t>am Arc corridor through allocating development in locations that will help fund, support and connect with it.</w:t>
            </w:r>
          </w:p>
          <w:p w14:paraId="45D9B4FB" w14:textId="77777777" w:rsidR="00094A2D" w:rsidRPr="00B251A0" w:rsidRDefault="00094A2D" w:rsidP="00094A2D">
            <w:pPr>
              <w:pStyle w:val="ListParagraph"/>
              <w:shd w:val="clear" w:color="auto" w:fill="FFFFFF"/>
              <w:spacing w:line="240" w:lineRule="auto"/>
              <w:ind w:left="1080"/>
              <w:rPr>
                <w:rFonts w:eastAsia="Times New Roman" w:cs="Arial"/>
                <w:color w:val="4472C4" w:themeColor="accent1"/>
                <w:kern w:val="36"/>
                <w:sz w:val="20"/>
                <w:szCs w:val="20"/>
                <w:lang w:eastAsia="en-GB"/>
              </w:rPr>
            </w:pPr>
          </w:p>
          <w:p w14:paraId="617279E7" w14:textId="3C537010" w:rsidR="00761AE5" w:rsidRPr="00B251A0" w:rsidRDefault="00785C21" w:rsidP="00034F73">
            <w:pPr>
              <w:pStyle w:val="ListParagraph"/>
              <w:numPr>
                <w:ilvl w:val="0"/>
                <w:numId w:val="23"/>
              </w:numPr>
              <w:shd w:val="clear" w:color="auto" w:fill="FFFFFF"/>
              <w:spacing w:after="100" w:afterAutospacing="1" w:line="240" w:lineRule="auto"/>
              <w:outlineLvl w:val="0"/>
              <w:rPr>
                <w:rFonts w:eastAsia="Times New Roman" w:cs="Arial"/>
                <w:color w:val="4472C4" w:themeColor="accent1"/>
                <w:kern w:val="36"/>
                <w:sz w:val="20"/>
                <w:szCs w:val="20"/>
                <w:lang w:eastAsia="en-GB"/>
              </w:rPr>
            </w:pPr>
            <w:r w:rsidRPr="00B251A0">
              <w:rPr>
                <w:rFonts w:eastAsia="Times New Roman" w:cs="Arial"/>
                <w:color w:val="4472C4" w:themeColor="accent1"/>
                <w:kern w:val="36"/>
                <w:sz w:val="20"/>
                <w:szCs w:val="20"/>
                <w:lang w:eastAsia="en-GB"/>
              </w:rPr>
              <w:t xml:space="preserve">Further, given its location on the southern side of </w:t>
            </w:r>
            <w:r w:rsidR="00A72ABB" w:rsidRPr="00B251A0">
              <w:rPr>
                <w:rFonts w:eastAsia="Times New Roman" w:cs="Arial"/>
                <w:color w:val="4472C4" w:themeColor="accent1"/>
                <w:kern w:val="36"/>
                <w:sz w:val="20"/>
                <w:szCs w:val="20"/>
                <w:lang w:eastAsia="en-GB"/>
              </w:rPr>
              <w:t>Papworth Everard</w:t>
            </w:r>
            <w:r w:rsidRPr="00B251A0">
              <w:rPr>
                <w:rFonts w:eastAsia="Times New Roman" w:cs="Arial"/>
                <w:color w:val="4472C4" w:themeColor="accent1"/>
                <w:kern w:val="36"/>
                <w:sz w:val="20"/>
                <w:szCs w:val="20"/>
                <w:lang w:eastAsia="en-GB"/>
              </w:rPr>
              <w:t xml:space="preserve"> (the obvious location</w:t>
            </w:r>
            <w:r w:rsidR="00A72ABB" w:rsidRPr="00B251A0">
              <w:rPr>
                <w:rFonts w:eastAsia="Times New Roman" w:cs="Arial"/>
                <w:color w:val="4472C4" w:themeColor="accent1"/>
                <w:kern w:val="36"/>
                <w:sz w:val="20"/>
                <w:szCs w:val="20"/>
                <w:lang w:eastAsia="en-GB"/>
              </w:rPr>
              <w:t xml:space="preserve"> for</w:t>
            </w:r>
            <w:r w:rsidRPr="00B251A0">
              <w:rPr>
                <w:rFonts w:eastAsia="Times New Roman" w:cs="Arial"/>
                <w:color w:val="4472C4" w:themeColor="accent1"/>
                <w:kern w:val="36"/>
                <w:sz w:val="20"/>
                <w:szCs w:val="20"/>
                <w:lang w:eastAsia="en-GB"/>
              </w:rPr>
              <w:t xml:space="preserve"> allocations in view of </w:t>
            </w:r>
            <w:r w:rsidR="00A72ABB" w:rsidRPr="00B251A0">
              <w:rPr>
                <w:rFonts w:eastAsia="Times New Roman" w:cs="Arial"/>
                <w:color w:val="4472C4" w:themeColor="accent1"/>
                <w:kern w:val="36"/>
                <w:sz w:val="20"/>
                <w:szCs w:val="20"/>
                <w:lang w:eastAsia="en-GB"/>
              </w:rPr>
              <w:t>the</w:t>
            </w:r>
            <w:r w:rsidRPr="00B251A0">
              <w:rPr>
                <w:rFonts w:eastAsia="Times New Roman" w:cs="Arial"/>
                <w:color w:val="4472C4" w:themeColor="accent1"/>
                <w:kern w:val="36"/>
                <w:sz w:val="20"/>
                <w:szCs w:val="20"/>
                <w:lang w:eastAsia="en-GB"/>
              </w:rPr>
              <w:t xml:space="preserve"> proximity and connection to the various forthcoming new transport and transport upgrade schemes), Land at Crow's Nest Farm, Papworth Everard, (Greater Cambridge HELAA (2021) Site Reference: 48096) would be ideally suited to accommodate this growth.</w:t>
            </w:r>
          </w:p>
        </w:tc>
      </w:tr>
      <w:tr w:rsidR="00761AE5" w:rsidRPr="00B251A0" w14:paraId="148522E1" w14:textId="7FBB7E70" w:rsidTr="00761AE5">
        <w:tc>
          <w:tcPr>
            <w:tcW w:w="3256" w:type="dxa"/>
          </w:tcPr>
          <w:p w14:paraId="55C8D44B" w14:textId="77777777" w:rsidR="00761AE5" w:rsidRPr="00B251A0" w:rsidRDefault="00761AE5" w:rsidP="00761AE5">
            <w:pPr>
              <w:rPr>
                <w:rFonts w:cs="Arial"/>
              </w:rPr>
            </w:pPr>
            <w:r w:rsidRPr="00B251A0">
              <w:rPr>
                <w:rFonts w:cs="Arial"/>
              </w:rPr>
              <w:lastRenderedPageBreak/>
              <w:t>S/NS: Existing new settlements</w:t>
            </w:r>
          </w:p>
        </w:tc>
        <w:tc>
          <w:tcPr>
            <w:tcW w:w="5760" w:type="dxa"/>
          </w:tcPr>
          <w:p w14:paraId="56EE81A0" w14:textId="77777777" w:rsidR="00761AE5" w:rsidRPr="00B251A0" w:rsidRDefault="00761AE5" w:rsidP="00761AE5">
            <w:pPr>
              <w:rPr>
                <w:rFonts w:cs="Arial"/>
              </w:rPr>
            </w:pPr>
          </w:p>
        </w:tc>
      </w:tr>
    </w:tbl>
    <w:p w14:paraId="7E8BCB64" w14:textId="5406C798" w:rsidR="00761AE5" w:rsidRPr="00B251A0" w:rsidRDefault="00761AE5"/>
    <w:p w14:paraId="2323ED42" w14:textId="75F0EBA7" w:rsidR="00761AE5" w:rsidRPr="00B251A0" w:rsidRDefault="00761AE5" w:rsidP="00761AE5">
      <w:pPr>
        <w:pStyle w:val="Heading2"/>
      </w:pPr>
      <w:r w:rsidRPr="00B251A0">
        <w:t xml:space="preserve">Rural southern cluster </w:t>
      </w:r>
    </w:p>
    <w:tbl>
      <w:tblPr>
        <w:tblStyle w:val="TableGrid"/>
        <w:tblW w:w="0" w:type="auto"/>
        <w:tblLook w:val="04A0" w:firstRow="1" w:lastRow="0" w:firstColumn="1" w:lastColumn="0" w:noHBand="0" w:noVBand="1"/>
      </w:tblPr>
      <w:tblGrid>
        <w:gridCol w:w="3256"/>
        <w:gridCol w:w="5760"/>
      </w:tblGrid>
      <w:tr w:rsidR="006334E3" w:rsidRPr="00B251A0" w14:paraId="58BE2147" w14:textId="77777777" w:rsidTr="00D238FC">
        <w:tc>
          <w:tcPr>
            <w:tcW w:w="3256" w:type="dxa"/>
          </w:tcPr>
          <w:p w14:paraId="25D541D9" w14:textId="77777777" w:rsidR="006334E3" w:rsidRPr="00B251A0" w:rsidRDefault="006334E3" w:rsidP="00D238FC">
            <w:pPr>
              <w:rPr>
                <w:rFonts w:cs="Arial"/>
                <w:b/>
                <w:bCs/>
              </w:rPr>
            </w:pPr>
            <w:r w:rsidRPr="00B251A0">
              <w:rPr>
                <w:b/>
                <w:bCs/>
              </w:rPr>
              <w:t>Policy</w:t>
            </w:r>
          </w:p>
        </w:tc>
        <w:tc>
          <w:tcPr>
            <w:tcW w:w="5760" w:type="dxa"/>
          </w:tcPr>
          <w:p w14:paraId="014BEC8A" w14:textId="77777777" w:rsidR="006334E3" w:rsidRPr="00B251A0" w:rsidRDefault="006334E3" w:rsidP="00D238FC">
            <w:pPr>
              <w:rPr>
                <w:rFonts w:cs="Arial"/>
                <w:b/>
                <w:bCs/>
              </w:rPr>
            </w:pPr>
            <w:r w:rsidRPr="00B251A0">
              <w:rPr>
                <w:b/>
                <w:bCs/>
              </w:rPr>
              <w:t>Your comments</w:t>
            </w:r>
          </w:p>
        </w:tc>
      </w:tr>
      <w:tr w:rsidR="006334E3" w:rsidRPr="00B251A0" w14:paraId="3906726B" w14:textId="77777777" w:rsidTr="00D238FC">
        <w:tc>
          <w:tcPr>
            <w:tcW w:w="3256" w:type="dxa"/>
          </w:tcPr>
          <w:p w14:paraId="286B8588" w14:textId="1DEE85AE" w:rsidR="006334E3" w:rsidRPr="00B251A0" w:rsidRDefault="006334E3" w:rsidP="00D238FC">
            <w:pPr>
              <w:rPr>
                <w:rFonts w:cs="Arial"/>
              </w:rPr>
            </w:pPr>
            <w:r w:rsidRPr="00B251A0">
              <w:rPr>
                <w:rFonts w:cs="Arial"/>
              </w:rPr>
              <w:t>Rural southern cluster - general comments</w:t>
            </w:r>
          </w:p>
        </w:tc>
        <w:tc>
          <w:tcPr>
            <w:tcW w:w="5760" w:type="dxa"/>
          </w:tcPr>
          <w:p w14:paraId="3FEE6E33" w14:textId="77777777" w:rsidR="006334E3" w:rsidRPr="00B251A0" w:rsidRDefault="006334E3" w:rsidP="00D238FC">
            <w:pPr>
              <w:rPr>
                <w:rFonts w:cs="Arial"/>
              </w:rPr>
            </w:pPr>
          </w:p>
        </w:tc>
      </w:tr>
      <w:tr w:rsidR="00761AE5" w:rsidRPr="00B251A0" w14:paraId="1DFCC409" w14:textId="732D85F1" w:rsidTr="00761AE5">
        <w:tc>
          <w:tcPr>
            <w:tcW w:w="3256" w:type="dxa"/>
          </w:tcPr>
          <w:p w14:paraId="6C12881D" w14:textId="77777777" w:rsidR="00761AE5" w:rsidRPr="00B251A0" w:rsidRDefault="00761AE5" w:rsidP="00761AE5">
            <w:pPr>
              <w:rPr>
                <w:rFonts w:cs="Arial"/>
              </w:rPr>
            </w:pPr>
            <w:r w:rsidRPr="00B251A0">
              <w:rPr>
                <w:rFonts w:cs="Arial"/>
              </w:rPr>
              <w:t>S/GC: Genome Campus, Hinxton</w:t>
            </w:r>
          </w:p>
        </w:tc>
        <w:tc>
          <w:tcPr>
            <w:tcW w:w="5760" w:type="dxa"/>
          </w:tcPr>
          <w:p w14:paraId="34786AEF" w14:textId="77777777" w:rsidR="00761AE5" w:rsidRPr="00B251A0" w:rsidRDefault="00761AE5" w:rsidP="00761AE5">
            <w:pPr>
              <w:rPr>
                <w:rFonts w:cs="Arial"/>
              </w:rPr>
            </w:pPr>
          </w:p>
        </w:tc>
      </w:tr>
      <w:tr w:rsidR="00761AE5" w:rsidRPr="00B251A0" w14:paraId="6DB37D53" w14:textId="0AAB1A62" w:rsidTr="00761AE5">
        <w:tc>
          <w:tcPr>
            <w:tcW w:w="3256" w:type="dxa"/>
          </w:tcPr>
          <w:p w14:paraId="04F95EB8" w14:textId="77777777" w:rsidR="00761AE5" w:rsidRPr="00B251A0" w:rsidRDefault="00761AE5" w:rsidP="00761AE5">
            <w:pPr>
              <w:rPr>
                <w:rFonts w:cs="Arial"/>
              </w:rPr>
            </w:pPr>
            <w:r w:rsidRPr="00B251A0">
              <w:rPr>
                <w:rFonts w:cs="Arial"/>
              </w:rPr>
              <w:lastRenderedPageBreak/>
              <w:t>S/BRC: Babraham Research Campus</w:t>
            </w:r>
          </w:p>
        </w:tc>
        <w:tc>
          <w:tcPr>
            <w:tcW w:w="5760" w:type="dxa"/>
          </w:tcPr>
          <w:p w14:paraId="611FE6FC" w14:textId="77777777" w:rsidR="00761AE5" w:rsidRPr="00B251A0" w:rsidRDefault="00761AE5" w:rsidP="00761AE5">
            <w:pPr>
              <w:rPr>
                <w:rFonts w:cs="Arial"/>
              </w:rPr>
            </w:pPr>
          </w:p>
        </w:tc>
      </w:tr>
      <w:tr w:rsidR="00761AE5" w:rsidRPr="00B251A0" w14:paraId="224B0884" w14:textId="1FED3308" w:rsidTr="00761AE5">
        <w:tc>
          <w:tcPr>
            <w:tcW w:w="3256" w:type="dxa"/>
          </w:tcPr>
          <w:p w14:paraId="19DBDA1B" w14:textId="77777777" w:rsidR="00761AE5" w:rsidRPr="00B251A0" w:rsidRDefault="00761AE5" w:rsidP="00761AE5">
            <w:pPr>
              <w:rPr>
                <w:rFonts w:cs="Arial"/>
              </w:rPr>
            </w:pPr>
            <w:r w:rsidRPr="00B251A0">
              <w:rPr>
                <w:rFonts w:cs="Arial"/>
              </w:rPr>
              <w:t>S/RSC: Village allocations in the rural southern cluster</w:t>
            </w:r>
          </w:p>
        </w:tc>
        <w:tc>
          <w:tcPr>
            <w:tcW w:w="5760" w:type="dxa"/>
          </w:tcPr>
          <w:p w14:paraId="69CB7971" w14:textId="77777777" w:rsidR="00761AE5" w:rsidRPr="00B251A0" w:rsidRDefault="00761AE5" w:rsidP="00761AE5">
            <w:pPr>
              <w:rPr>
                <w:rFonts w:cs="Arial"/>
              </w:rPr>
            </w:pPr>
          </w:p>
        </w:tc>
      </w:tr>
      <w:tr w:rsidR="00761AE5" w:rsidRPr="00B251A0" w14:paraId="128A1E4D" w14:textId="3DFEE574" w:rsidTr="00761AE5">
        <w:tc>
          <w:tcPr>
            <w:tcW w:w="3256" w:type="dxa"/>
          </w:tcPr>
          <w:p w14:paraId="3392671A" w14:textId="77777777" w:rsidR="00761AE5" w:rsidRPr="00B251A0" w:rsidRDefault="00761AE5" w:rsidP="00761AE5">
            <w:pPr>
              <w:rPr>
                <w:rFonts w:cs="Arial"/>
              </w:rPr>
            </w:pPr>
            <w:r w:rsidRPr="00B251A0">
              <w:rPr>
                <w:rFonts w:cs="Arial"/>
              </w:rPr>
              <w:t>S/SCP: Policy areas in the rural southern cluster</w:t>
            </w:r>
          </w:p>
        </w:tc>
        <w:tc>
          <w:tcPr>
            <w:tcW w:w="5760" w:type="dxa"/>
          </w:tcPr>
          <w:p w14:paraId="76B56137" w14:textId="77777777" w:rsidR="00761AE5" w:rsidRPr="00B251A0" w:rsidRDefault="00761AE5" w:rsidP="00761AE5">
            <w:pPr>
              <w:rPr>
                <w:rFonts w:cs="Arial"/>
              </w:rPr>
            </w:pPr>
          </w:p>
        </w:tc>
      </w:tr>
    </w:tbl>
    <w:p w14:paraId="54CE1EC9" w14:textId="027FD965" w:rsidR="00761AE5" w:rsidRPr="00B251A0" w:rsidRDefault="00761AE5"/>
    <w:p w14:paraId="7DC39908" w14:textId="4A2B3083" w:rsidR="00761AE5" w:rsidRPr="00B251A0" w:rsidRDefault="00761AE5" w:rsidP="00761AE5">
      <w:pPr>
        <w:pStyle w:val="Heading2"/>
      </w:pPr>
      <w:r w:rsidRPr="00B251A0">
        <w:t xml:space="preserve">Rest of the rural area </w:t>
      </w:r>
    </w:p>
    <w:tbl>
      <w:tblPr>
        <w:tblStyle w:val="TableGrid"/>
        <w:tblW w:w="0" w:type="auto"/>
        <w:tblLook w:val="04A0" w:firstRow="1" w:lastRow="0" w:firstColumn="1" w:lastColumn="0" w:noHBand="0" w:noVBand="1"/>
      </w:tblPr>
      <w:tblGrid>
        <w:gridCol w:w="3256"/>
        <w:gridCol w:w="5760"/>
      </w:tblGrid>
      <w:tr w:rsidR="00761AE5" w:rsidRPr="00B251A0" w14:paraId="16A14E7C" w14:textId="77777777" w:rsidTr="00D238FC">
        <w:tc>
          <w:tcPr>
            <w:tcW w:w="3256" w:type="dxa"/>
          </w:tcPr>
          <w:p w14:paraId="5B63266C" w14:textId="77777777" w:rsidR="00761AE5" w:rsidRPr="00B251A0" w:rsidRDefault="00761AE5" w:rsidP="00D238FC">
            <w:pPr>
              <w:rPr>
                <w:rFonts w:cs="Arial"/>
                <w:b/>
                <w:bCs/>
              </w:rPr>
            </w:pPr>
            <w:r w:rsidRPr="00B251A0">
              <w:rPr>
                <w:b/>
                <w:bCs/>
              </w:rPr>
              <w:t>Policy</w:t>
            </w:r>
          </w:p>
        </w:tc>
        <w:tc>
          <w:tcPr>
            <w:tcW w:w="5760" w:type="dxa"/>
          </w:tcPr>
          <w:p w14:paraId="05C5F6FF" w14:textId="77777777" w:rsidR="00761AE5" w:rsidRPr="00B251A0" w:rsidRDefault="00761AE5" w:rsidP="00D238FC">
            <w:pPr>
              <w:rPr>
                <w:rFonts w:cs="Arial"/>
                <w:b/>
                <w:bCs/>
              </w:rPr>
            </w:pPr>
            <w:r w:rsidRPr="00B251A0">
              <w:rPr>
                <w:b/>
                <w:bCs/>
              </w:rPr>
              <w:t>Your comments</w:t>
            </w:r>
          </w:p>
        </w:tc>
      </w:tr>
      <w:tr w:rsidR="006334E3" w:rsidRPr="00B251A0" w14:paraId="501BEA7F" w14:textId="77777777" w:rsidTr="00D238FC">
        <w:tc>
          <w:tcPr>
            <w:tcW w:w="3256" w:type="dxa"/>
          </w:tcPr>
          <w:p w14:paraId="6884FBDC" w14:textId="1C60D72A" w:rsidR="006334E3" w:rsidRPr="00B251A0" w:rsidRDefault="006334E3" w:rsidP="00D238FC">
            <w:pPr>
              <w:rPr>
                <w:rFonts w:cs="Arial"/>
              </w:rPr>
            </w:pPr>
            <w:r w:rsidRPr="00B251A0">
              <w:rPr>
                <w:rFonts w:cs="Arial"/>
              </w:rPr>
              <w:t>Rest of the rural area - general comments</w:t>
            </w:r>
          </w:p>
        </w:tc>
        <w:tc>
          <w:tcPr>
            <w:tcW w:w="5760" w:type="dxa"/>
          </w:tcPr>
          <w:p w14:paraId="50BF25DA" w14:textId="77777777" w:rsidR="006334E3" w:rsidRPr="00B251A0" w:rsidRDefault="006334E3" w:rsidP="00686F9C">
            <w:pPr>
              <w:spacing w:line="240" w:lineRule="auto"/>
              <w:rPr>
                <w:rFonts w:cs="Arial"/>
                <w:sz w:val="20"/>
                <w:szCs w:val="20"/>
              </w:rPr>
            </w:pPr>
          </w:p>
        </w:tc>
      </w:tr>
      <w:tr w:rsidR="00761AE5" w:rsidRPr="00B251A0" w14:paraId="74A160CF" w14:textId="69897557" w:rsidTr="00761AE5">
        <w:tc>
          <w:tcPr>
            <w:tcW w:w="3256" w:type="dxa"/>
          </w:tcPr>
          <w:p w14:paraId="0506E58F" w14:textId="77777777" w:rsidR="00761AE5" w:rsidRPr="00B251A0" w:rsidRDefault="00761AE5" w:rsidP="00761AE5">
            <w:pPr>
              <w:rPr>
                <w:rFonts w:cs="Arial"/>
              </w:rPr>
            </w:pPr>
            <w:r w:rsidRPr="00B251A0">
              <w:rPr>
                <w:rFonts w:cs="Arial"/>
              </w:rPr>
              <w:t>S/RRA: Allocations in the rest of the rural area</w:t>
            </w:r>
          </w:p>
        </w:tc>
        <w:tc>
          <w:tcPr>
            <w:tcW w:w="5760" w:type="dxa"/>
          </w:tcPr>
          <w:p w14:paraId="729A8983" w14:textId="77777777" w:rsidR="00217676" w:rsidRPr="00B251A0" w:rsidRDefault="00217676" w:rsidP="00217676">
            <w:pPr>
              <w:pStyle w:val="ListParagraph"/>
              <w:numPr>
                <w:ilvl w:val="0"/>
                <w:numId w:val="23"/>
              </w:numPr>
              <w:shd w:val="clear" w:color="auto" w:fill="FFFFFF"/>
              <w:spacing w:line="240" w:lineRule="auto"/>
              <w:rPr>
                <w:rFonts w:cs="Arial"/>
                <w:color w:val="4472C4" w:themeColor="accent1"/>
                <w:sz w:val="20"/>
                <w:szCs w:val="20"/>
              </w:rPr>
            </w:pPr>
            <w:r w:rsidRPr="00B251A0">
              <w:rPr>
                <w:rFonts w:cs="Arial"/>
                <w:color w:val="4472C4" w:themeColor="accent1"/>
                <w:sz w:val="20"/>
                <w:szCs w:val="20"/>
              </w:rPr>
              <w:t>The proposed development strategy involves growth in only a very limited selection of the settlements in Greater Cambridge.</w:t>
            </w:r>
          </w:p>
          <w:p w14:paraId="2D9A5602" w14:textId="45EC8B6B" w:rsidR="00217676" w:rsidRPr="00B251A0" w:rsidRDefault="00217676" w:rsidP="00217676">
            <w:pPr>
              <w:pStyle w:val="ListParagraph"/>
              <w:numPr>
                <w:ilvl w:val="0"/>
                <w:numId w:val="23"/>
              </w:numPr>
              <w:shd w:val="clear" w:color="auto" w:fill="FFFFFF"/>
              <w:spacing w:line="240" w:lineRule="auto"/>
              <w:rPr>
                <w:rFonts w:cs="Arial"/>
                <w:color w:val="4472C4" w:themeColor="accent1"/>
                <w:sz w:val="20"/>
                <w:szCs w:val="20"/>
              </w:rPr>
            </w:pPr>
            <w:r w:rsidRPr="00B251A0">
              <w:rPr>
                <w:rFonts w:cs="Arial"/>
                <w:color w:val="4472C4" w:themeColor="accent1"/>
                <w:sz w:val="20"/>
                <w:szCs w:val="20"/>
              </w:rPr>
              <w:t>Papworth Everard will have excellent public transport access</w:t>
            </w:r>
            <w:r w:rsidR="00A72ABB" w:rsidRPr="00B251A0">
              <w:rPr>
                <w:rFonts w:cs="Arial"/>
                <w:color w:val="4472C4" w:themeColor="accent1"/>
                <w:sz w:val="20"/>
                <w:szCs w:val="20"/>
              </w:rPr>
              <w:t>ibility</w:t>
            </w:r>
            <w:r w:rsidRPr="00B251A0">
              <w:rPr>
                <w:rFonts w:cs="Arial"/>
                <w:color w:val="4472C4" w:themeColor="accent1"/>
                <w:sz w:val="20"/>
                <w:szCs w:val="20"/>
              </w:rPr>
              <w:t xml:space="preserve"> following the delivery of several committed transport infrastructure projects. It is therefore a settlement where housing and employment growth should be being</w:t>
            </w:r>
            <w:r w:rsidR="00A72ABB" w:rsidRPr="00B251A0">
              <w:rPr>
                <w:rFonts w:cs="Arial"/>
                <w:color w:val="4472C4" w:themeColor="accent1"/>
                <w:sz w:val="20"/>
                <w:szCs w:val="20"/>
              </w:rPr>
              <w:t xml:space="preserve"> allocated</w:t>
            </w:r>
            <w:r w:rsidRPr="00B251A0">
              <w:rPr>
                <w:rFonts w:cs="Arial"/>
                <w:color w:val="4472C4" w:themeColor="accent1"/>
                <w:sz w:val="20"/>
                <w:szCs w:val="20"/>
              </w:rPr>
              <w:t xml:space="preserve"> in order to:</w:t>
            </w:r>
          </w:p>
          <w:p w14:paraId="14E26877" w14:textId="600C0512" w:rsidR="00217676" w:rsidRPr="00B251A0" w:rsidRDefault="00217676" w:rsidP="00094A2D">
            <w:pPr>
              <w:pStyle w:val="ListParagraph"/>
              <w:numPr>
                <w:ilvl w:val="1"/>
                <w:numId w:val="30"/>
              </w:numPr>
              <w:shd w:val="clear" w:color="auto" w:fill="FFFFFF"/>
              <w:spacing w:line="240" w:lineRule="auto"/>
              <w:rPr>
                <w:rFonts w:cs="Arial"/>
                <w:color w:val="4472C4" w:themeColor="accent1"/>
                <w:sz w:val="20"/>
                <w:szCs w:val="20"/>
              </w:rPr>
            </w:pPr>
            <w:r w:rsidRPr="00B251A0">
              <w:rPr>
                <w:rFonts w:cs="Arial"/>
                <w:color w:val="4472C4" w:themeColor="accent1"/>
                <w:sz w:val="20"/>
                <w:szCs w:val="20"/>
              </w:rPr>
              <w:t>Help the village thrive;</w:t>
            </w:r>
          </w:p>
          <w:p w14:paraId="4EEE1560" w14:textId="77777777" w:rsidR="00A72ABB" w:rsidRPr="00B251A0" w:rsidRDefault="00217676" w:rsidP="00A72ABB">
            <w:pPr>
              <w:pStyle w:val="ListParagraph"/>
              <w:numPr>
                <w:ilvl w:val="1"/>
                <w:numId w:val="30"/>
              </w:numPr>
              <w:shd w:val="clear" w:color="auto" w:fill="FFFFFF"/>
              <w:spacing w:line="240" w:lineRule="auto"/>
              <w:rPr>
                <w:rFonts w:cs="Arial"/>
                <w:color w:val="4472C4" w:themeColor="accent1"/>
                <w:sz w:val="20"/>
                <w:szCs w:val="20"/>
              </w:rPr>
            </w:pPr>
            <w:r w:rsidRPr="00B251A0">
              <w:rPr>
                <w:rFonts w:cs="Arial"/>
                <w:color w:val="4472C4" w:themeColor="accent1"/>
                <w:sz w:val="20"/>
                <w:szCs w:val="20"/>
              </w:rPr>
              <w:t>Support the local economy;</w:t>
            </w:r>
          </w:p>
          <w:p w14:paraId="2351120A" w14:textId="43FB3A65" w:rsidR="00217676" w:rsidRPr="00B251A0" w:rsidRDefault="00217676" w:rsidP="00A72ABB">
            <w:pPr>
              <w:pStyle w:val="ListParagraph"/>
              <w:numPr>
                <w:ilvl w:val="1"/>
                <w:numId w:val="30"/>
              </w:numPr>
              <w:shd w:val="clear" w:color="auto" w:fill="FFFFFF"/>
              <w:spacing w:line="240" w:lineRule="auto"/>
              <w:rPr>
                <w:rFonts w:cs="Arial"/>
                <w:color w:val="4472C4" w:themeColor="accent1"/>
                <w:sz w:val="20"/>
                <w:szCs w:val="20"/>
              </w:rPr>
            </w:pPr>
            <w:r w:rsidRPr="00B251A0">
              <w:rPr>
                <w:rFonts w:cs="Arial"/>
                <w:color w:val="4472C4" w:themeColor="accent1"/>
                <w:sz w:val="20"/>
                <w:szCs w:val="20"/>
              </w:rPr>
              <w:t>Help meet the</w:t>
            </w:r>
            <w:r w:rsidR="00A72ABB" w:rsidRPr="00B251A0">
              <w:rPr>
                <w:rFonts w:cs="Arial"/>
                <w:color w:val="4472C4" w:themeColor="accent1"/>
                <w:sz w:val="20"/>
                <w:szCs w:val="20"/>
              </w:rPr>
              <w:t xml:space="preserve"> emerging local</w:t>
            </w:r>
            <w:r w:rsidRPr="00B251A0">
              <w:rPr>
                <w:rFonts w:cs="Arial"/>
                <w:color w:val="4472C4" w:themeColor="accent1"/>
                <w:sz w:val="20"/>
                <w:szCs w:val="20"/>
              </w:rPr>
              <w:t xml:space="preserve"> plan’s housing requirement</w:t>
            </w:r>
            <w:r w:rsidR="00A72ABB" w:rsidRPr="00B251A0">
              <w:rPr>
                <w:rFonts w:cs="Arial"/>
                <w:color w:val="4472C4" w:themeColor="accent1"/>
                <w:sz w:val="20"/>
                <w:szCs w:val="20"/>
              </w:rPr>
              <w:t xml:space="preserve">, </w:t>
            </w:r>
            <w:r w:rsidR="00A72ABB" w:rsidRPr="00B251A0">
              <w:rPr>
                <w:rFonts w:eastAsia="Times New Roman" w:cs="Arial"/>
                <w:color w:val="4472C4" w:themeColor="accent1"/>
                <w:kern w:val="36"/>
                <w:sz w:val="20"/>
                <w:szCs w:val="20"/>
                <w:lang w:eastAsia="en-GB"/>
              </w:rPr>
              <w:t xml:space="preserve">which should be </w:t>
            </w:r>
            <w:r w:rsidR="00A72ABB" w:rsidRPr="00B251A0">
              <w:rPr>
                <w:rFonts w:cs="Arial"/>
                <w:color w:val="4472C4" w:themeColor="accent1"/>
                <w:sz w:val="20"/>
                <w:szCs w:val="20"/>
              </w:rPr>
              <w:t>increased to the higher jobs and homes scenario (the ‘Maximum continue existing patterns’ scenario - 78,000 jobs and 53,500 homes);</w:t>
            </w:r>
          </w:p>
          <w:p w14:paraId="782DC4F9" w14:textId="77777777" w:rsidR="00217676" w:rsidRPr="00B251A0" w:rsidRDefault="00217676" w:rsidP="00094A2D">
            <w:pPr>
              <w:pStyle w:val="ListParagraph"/>
              <w:numPr>
                <w:ilvl w:val="1"/>
                <w:numId w:val="30"/>
              </w:numPr>
              <w:spacing w:line="240" w:lineRule="auto"/>
              <w:rPr>
                <w:rFonts w:cs="Arial"/>
                <w:color w:val="4472C4" w:themeColor="accent1"/>
                <w:sz w:val="20"/>
                <w:szCs w:val="20"/>
              </w:rPr>
            </w:pPr>
            <w:r w:rsidRPr="00B251A0">
              <w:rPr>
                <w:rFonts w:cs="Arial"/>
                <w:color w:val="4472C4" w:themeColor="accent1"/>
                <w:sz w:val="20"/>
                <w:szCs w:val="20"/>
              </w:rPr>
              <w:t xml:space="preserve">Provide greater choice in terms of the </w:t>
            </w:r>
            <w:r w:rsidRPr="00B251A0">
              <w:rPr>
                <w:rFonts w:eastAsia="Times New Roman" w:cs="Arial"/>
                <w:color w:val="4472C4" w:themeColor="accent1"/>
                <w:kern w:val="36"/>
                <w:sz w:val="20"/>
                <w:szCs w:val="20"/>
                <w:lang w:eastAsia="en-GB"/>
              </w:rPr>
              <w:t>location, size, type and tenure of housing that the plan can offer; and</w:t>
            </w:r>
          </w:p>
          <w:p w14:paraId="0EEA7F45" w14:textId="77777777" w:rsidR="00217676" w:rsidRPr="00B251A0" w:rsidRDefault="00217676" w:rsidP="00094A2D">
            <w:pPr>
              <w:pStyle w:val="ListParagraph"/>
              <w:numPr>
                <w:ilvl w:val="1"/>
                <w:numId w:val="30"/>
              </w:numPr>
              <w:shd w:val="clear" w:color="auto" w:fill="FFFFFF"/>
              <w:spacing w:line="240" w:lineRule="auto"/>
              <w:rPr>
                <w:rFonts w:cs="Arial"/>
                <w:color w:val="4472C4" w:themeColor="accent1"/>
                <w:sz w:val="20"/>
                <w:szCs w:val="20"/>
              </w:rPr>
            </w:pPr>
            <w:r w:rsidRPr="00B251A0">
              <w:rPr>
                <w:rFonts w:cs="Arial"/>
                <w:color w:val="4472C4" w:themeColor="accent1"/>
                <w:sz w:val="20"/>
                <w:szCs w:val="20"/>
              </w:rPr>
              <w:t>Provide greater flexibility and resilience in the Councils’ housing/development strategy.</w:t>
            </w:r>
          </w:p>
          <w:p w14:paraId="59677BBF" w14:textId="53C08791" w:rsidR="000510C7" w:rsidRPr="00B251A0" w:rsidRDefault="000510C7" w:rsidP="00686F9C">
            <w:pPr>
              <w:spacing w:line="240" w:lineRule="auto"/>
              <w:rPr>
                <w:rFonts w:cs="Arial"/>
                <w:sz w:val="20"/>
                <w:szCs w:val="20"/>
              </w:rPr>
            </w:pPr>
          </w:p>
        </w:tc>
      </w:tr>
      <w:tr w:rsidR="00761AE5" w:rsidRPr="00B251A0" w14:paraId="577B289D" w14:textId="720332DD" w:rsidTr="00761AE5">
        <w:tc>
          <w:tcPr>
            <w:tcW w:w="3256" w:type="dxa"/>
          </w:tcPr>
          <w:p w14:paraId="6E0BD870" w14:textId="77777777" w:rsidR="00761AE5" w:rsidRPr="00B251A0" w:rsidRDefault="00761AE5" w:rsidP="00761AE5">
            <w:pPr>
              <w:rPr>
                <w:rFonts w:cs="Arial"/>
              </w:rPr>
            </w:pPr>
            <w:r w:rsidRPr="00B251A0">
              <w:rPr>
                <w:rFonts w:cs="Arial"/>
              </w:rPr>
              <w:t>S/RRP: Policy areas in the rest of the rural area</w:t>
            </w:r>
          </w:p>
        </w:tc>
        <w:tc>
          <w:tcPr>
            <w:tcW w:w="5760" w:type="dxa"/>
          </w:tcPr>
          <w:p w14:paraId="7FC33860" w14:textId="77777777" w:rsidR="00761AE5" w:rsidRPr="00B251A0" w:rsidRDefault="00761AE5" w:rsidP="00761AE5">
            <w:pPr>
              <w:rPr>
                <w:rFonts w:cs="Arial"/>
              </w:rPr>
            </w:pPr>
          </w:p>
        </w:tc>
      </w:tr>
    </w:tbl>
    <w:p w14:paraId="454CA737" w14:textId="28B7BD5A" w:rsidR="00761AE5" w:rsidRPr="00B251A0" w:rsidRDefault="00761AE5"/>
    <w:p w14:paraId="2BE7ED67" w14:textId="1961953B" w:rsidR="00761AE5" w:rsidRPr="00B251A0" w:rsidRDefault="00761AE5" w:rsidP="00761AE5">
      <w:pPr>
        <w:pStyle w:val="Heading2"/>
      </w:pPr>
      <w:r w:rsidRPr="00B251A0">
        <w:t xml:space="preserve">Climate change </w:t>
      </w:r>
    </w:p>
    <w:tbl>
      <w:tblPr>
        <w:tblStyle w:val="TableGrid"/>
        <w:tblW w:w="0" w:type="auto"/>
        <w:tblLook w:val="04A0" w:firstRow="1" w:lastRow="0" w:firstColumn="1" w:lastColumn="0" w:noHBand="0" w:noVBand="1"/>
      </w:tblPr>
      <w:tblGrid>
        <w:gridCol w:w="3256"/>
        <w:gridCol w:w="5760"/>
      </w:tblGrid>
      <w:tr w:rsidR="00761AE5" w:rsidRPr="00B251A0" w14:paraId="65D37946" w14:textId="77777777" w:rsidTr="00D238FC">
        <w:tc>
          <w:tcPr>
            <w:tcW w:w="3256" w:type="dxa"/>
          </w:tcPr>
          <w:p w14:paraId="478E11D6" w14:textId="77777777" w:rsidR="00761AE5" w:rsidRPr="00B251A0" w:rsidRDefault="00761AE5" w:rsidP="00D238FC">
            <w:pPr>
              <w:rPr>
                <w:rFonts w:cs="Arial"/>
                <w:b/>
                <w:bCs/>
              </w:rPr>
            </w:pPr>
            <w:r w:rsidRPr="00B251A0">
              <w:rPr>
                <w:b/>
                <w:bCs/>
              </w:rPr>
              <w:t>Policy</w:t>
            </w:r>
          </w:p>
        </w:tc>
        <w:tc>
          <w:tcPr>
            <w:tcW w:w="5760" w:type="dxa"/>
          </w:tcPr>
          <w:p w14:paraId="304F1B34" w14:textId="77777777" w:rsidR="00761AE5" w:rsidRPr="00B251A0" w:rsidRDefault="00761AE5" w:rsidP="00D238FC">
            <w:pPr>
              <w:rPr>
                <w:rFonts w:cs="Arial"/>
                <w:b/>
                <w:bCs/>
              </w:rPr>
            </w:pPr>
            <w:r w:rsidRPr="00B251A0">
              <w:rPr>
                <w:b/>
                <w:bCs/>
              </w:rPr>
              <w:t>Your comments</w:t>
            </w:r>
          </w:p>
        </w:tc>
      </w:tr>
      <w:tr w:rsidR="006334E3" w:rsidRPr="00B251A0" w14:paraId="1EFFA4AE" w14:textId="77777777" w:rsidTr="00D238FC">
        <w:tc>
          <w:tcPr>
            <w:tcW w:w="3256" w:type="dxa"/>
          </w:tcPr>
          <w:p w14:paraId="3567ABBD" w14:textId="4F80C006" w:rsidR="006334E3" w:rsidRPr="00B251A0" w:rsidRDefault="006334E3" w:rsidP="00D238FC">
            <w:pPr>
              <w:rPr>
                <w:rFonts w:cs="Arial"/>
              </w:rPr>
            </w:pPr>
            <w:r w:rsidRPr="00B251A0">
              <w:rPr>
                <w:rFonts w:cs="Arial"/>
              </w:rPr>
              <w:lastRenderedPageBreak/>
              <w:t>Climate change - general comments</w:t>
            </w:r>
          </w:p>
        </w:tc>
        <w:tc>
          <w:tcPr>
            <w:tcW w:w="5760" w:type="dxa"/>
          </w:tcPr>
          <w:p w14:paraId="653435C5" w14:textId="77777777" w:rsidR="006334E3" w:rsidRPr="00B251A0" w:rsidRDefault="006334E3" w:rsidP="00D238FC">
            <w:pPr>
              <w:rPr>
                <w:rFonts w:cs="Arial"/>
              </w:rPr>
            </w:pPr>
          </w:p>
        </w:tc>
      </w:tr>
      <w:tr w:rsidR="00761AE5" w:rsidRPr="00B251A0" w14:paraId="314BC17D" w14:textId="3B91D265" w:rsidTr="00761AE5">
        <w:tc>
          <w:tcPr>
            <w:tcW w:w="3256" w:type="dxa"/>
          </w:tcPr>
          <w:p w14:paraId="43E4883F" w14:textId="77777777" w:rsidR="00761AE5" w:rsidRPr="00B251A0" w:rsidRDefault="00761AE5" w:rsidP="00761AE5">
            <w:pPr>
              <w:rPr>
                <w:rFonts w:cs="Arial"/>
              </w:rPr>
            </w:pPr>
            <w:r w:rsidRPr="00B251A0">
              <w:rPr>
                <w:rFonts w:cs="Arial"/>
              </w:rPr>
              <w:t>CC/NZ: Net zero carbon new buildings</w:t>
            </w:r>
          </w:p>
        </w:tc>
        <w:tc>
          <w:tcPr>
            <w:tcW w:w="5760" w:type="dxa"/>
          </w:tcPr>
          <w:p w14:paraId="6441312D" w14:textId="77777777" w:rsidR="00761AE5" w:rsidRPr="00B251A0" w:rsidRDefault="00761AE5" w:rsidP="00761AE5">
            <w:pPr>
              <w:rPr>
                <w:rFonts w:cs="Arial"/>
              </w:rPr>
            </w:pPr>
          </w:p>
        </w:tc>
      </w:tr>
      <w:tr w:rsidR="00761AE5" w:rsidRPr="00B251A0" w14:paraId="442CAF60" w14:textId="340865F0" w:rsidTr="00761AE5">
        <w:tc>
          <w:tcPr>
            <w:tcW w:w="3256" w:type="dxa"/>
          </w:tcPr>
          <w:p w14:paraId="424AA1C4" w14:textId="77777777" w:rsidR="00761AE5" w:rsidRPr="00B251A0" w:rsidRDefault="00761AE5" w:rsidP="00761AE5">
            <w:pPr>
              <w:rPr>
                <w:rFonts w:cs="Arial"/>
              </w:rPr>
            </w:pPr>
            <w:r w:rsidRPr="00B251A0">
              <w:rPr>
                <w:rFonts w:cs="Arial"/>
              </w:rPr>
              <w:t>CC/WE: Water efficiency in new developments</w:t>
            </w:r>
          </w:p>
        </w:tc>
        <w:tc>
          <w:tcPr>
            <w:tcW w:w="5760" w:type="dxa"/>
          </w:tcPr>
          <w:p w14:paraId="413B72D1" w14:textId="77777777" w:rsidR="00761AE5" w:rsidRPr="00B251A0" w:rsidRDefault="00761AE5" w:rsidP="00761AE5">
            <w:pPr>
              <w:rPr>
                <w:rFonts w:cs="Arial"/>
              </w:rPr>
            </w:pPr>
          </w:p>
        </w:tc>
      </w:tr>
      <w:tr w:rsidR="00761AE5" w:rsidRPr="00B251A0" w14:paraId="120FCA3F" w14:textId="20B09278" w:rsidTr="00761AE5">
        <w:tc>
          <w:tcPr>
            <w:tcW w:w="3256" w:type="dxa"/>
          </w:tcPr>
          <w:p w14:paraId="0150C12F" w14:textId="77777777" w:rsidR="00761AE5" w:rsidRPr="00B251A0" w:rsidRDefault="00761AE5" w:rsidP="00761AE5">
            <w:pPr>
              <w:rPr>
                <w:rFonts w:cs="Arial"/>
              </w:rPr>
            </w:pPr>
            <w:r w:rsidRPr="00B251A0">
              <w:rPr>
                <w:rFonts w:cs="Arial"/>
              </w:rPr>
              <w:t>CC/DC: Designing for a changing climate</w:t>
            </w:r>
          </w:p>
        </w:tc>
        <w:tc>
          <w:tcPr>
            <w:tcW w:w="5760" w:type="dxa"/>
          </w:tcPr>
          <w:p w14:paraId="30EFD791" w14:textId="77777777" w:rsidR="00761AE5" w:rsidRPr="00B251A0" w:rsidRDefault="00761AE5" w:rsidP="00761AE5">
            <w:pPr>
              <w:rPr>
                <w:rFonts w:cs="Arial"/>
              </w:rPr>
            </w:pPr>
          </w:p>
        </w:tc>
      </w:tr>
      <w:tr w:rsidR="00761AE5" w:rsidRPr="00B251A0" w14:paraId="47088657" w14:textId="7C2DA492" w:rsidTr="00761AE5">
        <w:tc>
          <w:tcPr>
            <w:tcW w:w="3256" w:type="dxa"/>
          </w:tcPr>
          <w:p w14:paraId="02CE7FC6" w14:textId="77777777" w:rsidR="00761AE5" w:rsidRPr="00B251A0" w:rsidRDefault="00761AE5" w:rsidP="00761AE5">
            <w:pPr>
              <w:rPr>
                <w:rFonts w:cs="Arial"/>
              </w:rPr>
            </w:pPr>
            <w:r w:rsidRPr="00B251A0">
              <w:rPr>
                <w:rFonts w:cs="Arial"/>
              </w:rPr>
              <w:t>CC/FM: Flooding and integrated water management</w:t>
            </w:r>
          </w:p>
        </w:tc>
        <w:tc>
          <w:tcPr>
            <w:tcW w:w="5760" w:type="dxa"/>
          </w:tcPr>
          <w:p w14:paraId="7E0F7F81" w14:textId="77777777" w:rsidR="00761AE5" w:rsidRPr="00B251A0" w:rsidRDefault="00761AE5" w:rsidP="00761AE5">
            <w:pPr>
              <w:rPr>
                <w:rFonts w:cs="Arial"/>
              </w:rPr>
            </w:pPr>
          </w:p>
        </w:tc>
      </w:tr>
      <w:tr w:rsidR="00761AE5" w:rsidRPr="00B251A0" w14:paraId="54D286C1" w14:textId="339B6B7B" w:rsidTr="00761AE5">
        <w:tc>
          <w:tcPr>
            <w:tcW w:w="3256" w:type="dxa"/>
          </w:tcPr>
          <w:p w14:paraId="2D168AAB" w14:textId="77777777" w:rsidR="00761AE5" w:rsidRPr="00B251A0" w:rsidRDefault="00761AE5" w:rsidP="00761AE5">
            <w:pPr>
              <w:rPr>
                <w:rFonts w:cs="Arial"/>
              </w:rPr>
            </w:pPr>
            <w:r w:rsidRPr="00B251A0">
              <w:rPr>
                <w:rFonts w:cs="Arial"/>
              </w:rPr>
              <w:t>CC/RE: Renewable energy projects and infrastructure</w:t>
            </w:r>
          </w:p>
        </w:tc>
        <w:tc>
          <w:tcPr>
            <w:tcW w:w="5760" w:type="dxa"/>
          </w:tcPr>
          <w:p w14:paraId="6C770BA6" w14:textId="77777777" w:rsidR="00761AE5" w:rsidRPr="00B251A0" w:rsidRDefault="00761AE5" w:rsidP="00761AE5">
            <w:pPr>
              <w:rPr>
                <w:rFonts w:cs="Arial"/>
              </w:rPr>
            </w:pPr>
          </w:p>
        </w:tc>
      </w:tr>
      <w:tr w:rsidR="00761AE5" w:rsidRPr="00B251A0" w14:paraId="2F088FF7" w14:textId="2E06C176" w:rsidTr="00761AE5">
        <w:tc>
          <w:tcPr>
            <w:tcW w:w="3256" w:type="dxa"/>
          </w:tcPr>
          <w:p w14:paraId="2B8882A4" w14:textId="77777777" w:rsidR="00761AE5" w:rsidRPr="00B251A0" w:rsidRDefault="00761AE5" w:rsidP="00761AE5">
            <w:pPr>
              <w:rPr>
                <w:rFonts w:cs="Arial"/>
              </w:rPr>
            </w:pPr>
            <w:r w:rsidRPr="00B251A0">
              <w:rPr>
                <w:rFonts w:cs="Arial"/>
              </w:rPr>
              <w:t>CC/CE: Reducing waste and supporting the circular economy</w:t>
            </w:r>
          </w:p>
        </w:tc>
        <w:tc>
          <w:tcPr>
            <w:tcW w:w="5760" w:type="dxa"/>
          </w:tcPr>
          <w:p w14:paraId="5438A3E8" w14:textId="77777777" w:rsidR="00761AE5" w:rsidRPr="00B251A0" w:rsidRDefault="00761AE5" w:rsidP="00761AE5">
            <w:pPr>
              <w:rPr>
                <w:rFonts w:cs="Arial"/>
              </w:rPr>
            </w:pPr>
          </w:p>
        </w:tc>
      </w:tr>
      <w:tr w:rsidR="00761AE5" w:rsidRPr="00B251A0" w14:paraId="52F7871B" w14:textId="1BF4E588" w:rsidTr="00761AE5">
        <w:tc>
          <w:tcPr>
            <w:tcW w:w="3256" w:type="dxa"/>
          </w:tcPr>
          <w:p w14:paraId="7687CE05" w14:textId="77777777" w:rsidR="00761AE5" w:rsidRPr="00B251A0" w:rsidRDefault="00761AE5" w:rsidP="00761AE5">
            <w:pPr>
              <w:rPr>
                <w:rFonts w:cs="Arial"/>
              </w:rPr>
            </w:pPr>
            <w:r w:rsidRPr="00B251A0">
              <w:rPr>
                <w:rFonts w:cs="Arial"/>
              </w:rPr>
              <w:t>CC/CS: Supporting land based carbon sequestration</w:t>
            </w:r>
          </w:p>
        </w:tc>
        <w:tc>
          <w:tcPr>
            <w:tcW w:w="5760" w:type="dxa"/>
          </w:tcPr>
          <w:p w14:paraId="1D165B9D" w14:textId="77777777" w:rsidR="00761AE5" w:rsidRPr="00B251A0" w:rsidRDefault="00761AE5" w:rsidP="00761AE5">
            <w:pPr>
              <w:rPr>
                <w:rFonts w:cs="Arial"/>
              </w:rPr>
            </w:pPr>
          </w:p>
        </w:tc>
      </w:tr>
    </w:tbl>
    <w:p w14:paraId="7CE05508" w14:textId="452B159B" w:rsidR="00761AE5" w:rsidRPr="00B251A0" w:rsidRDefault="00761AE5"/>
    <w:p w14:paraId="20E8C556" w14:textId="48C28289" w:rsidR="00761AE5" w:rsidRPr="00B251A0" w:rsidRDefault="00761AE5" w:rsidP="00761AE5">
      <w:pPr>
        <w:pStyle w:val="Heading2"/>
      </w:pPr>
      <w:r w:rsidRPr="00B251A0">
        <w:t xml:space="preserve">Biodiversity and green spaces </w:t>
      </w:r>
    </w:p>
    <w:tbl>
      <w:tblPr>
        <w:tblStyle w:val="TableGrid"/>
        <w:tblW w:w="0" w:type="auto"/>
        <w:tblLook w:val="04A0" w:firstRow="1" w:lastRow="0" w:firstColumn="1" w:lastColumn="0" w:noHBand="0" w:noVBand="1"/>
      </w:tblPr>
      <w:tblGrid>
        <w:gridCol w:w="3256"/>
        <w:gridCol w:w="5760"/>
      </w:tblGrid>
      <w:tr w:rsidR="00761AE5" w:rsidRPr="00B251A0" w14:paraId="5EE7CD50" w14:textId="77777777" w:rsidTr="00D238FC">
        <w:tc>
          <w:tcPr>
            <w:tcW w:w="3256" w:type="dxa"/>
          </w:tcPr>
          <w:p w14:paraId="2FC277E7" w14:textId="77777777" w:rsidR="00761AE5" w:rsidRPr="00B251A0" w:rsidRDefault="00761AE5" w:rsidP="00D238FC">
            <w:pPr>
              <w:rPr>
                <w:rFonts w:cs="Arial"/>
                <w:b/>
                <w:bCs/>
              </w:rPr>
            </w:pPr>
            <w:r w:rsidRPr="00B251A0">
              <w:rPr>
                <w:b/>
                <w:bCs/>
              </w:rPr>
              <w:t>Policy</w:t>
            </w:r>
          </w:p>
        </w:tc>
        <w:tc>
          <w:tcPr>
            <w:tcW w:w="5760" w:type="dxa"/>
          </w:tcPr>
          <w:p w14:paraId="527EA0B3" w14:textId="77777777" w:rsidR="00761AE5" w:rsidRPr="00B251A0" w:rsidRDefault="00761AE5" w:rsidP="00D238FC">
            <w:pPr>
              <w:rPr>
                <w:rFonts w:cs="Arial"/>
                <w:b/>
                <w:bCs/>
              </w:rPr>
            </w:pPr>
            <w:r w:rsidRPr="00B251A0">
              <w:rPr>
                <w:b/>
                <w:bCs/>
              </w:rPr>
              <w:t>Your comments</w:t>
            </w:r>
          </w:p>
        </w:tc>
      </w:tr>
      <w:tr w:rsidR="006334E3" w:rsidRPr="00B251A0" w14:paraId="060C1A30" w14:textId="77777777" w:rsidTr="00D238FC">
        <w:tc>
          <w:tcPr>
            <w:tcW w:w="3256" w:type="dxa"/>
          </w:tcPr>
          <w:p w14:paraId="19539035" w14:textId="592B54C3" w:rsidR="006334E3" w:rsidRPr="00B251A0" w:rsidRDefault="006334E3" w:rsidP="00D238FC">
            <w:pPr>
              <w:rPr>
                <w:rFonts w:cs="Arial"/>
              </w:rPr>
            </w:pPr>
            <w:r w:rsidRPr="00B251A0">
              <w:rPr>
                <w:rFonts w:cs="Arial"/>
              </w:rPr>
              <w:t>Biodiversity and green spaces - general comments</w:t>
            </w:r>
          </w:p>
        </w:tc>
        <w:tc>
          <w:tcPr>
            <w:tcW w:w="5760" w:type="dxa"/>
          </w:tcPr>
          <w:p w14:paraId="35CFF58E" w14:textId="77777777" w:rsidR="006334E3" w:rsidRPr="00B251A0" w:rsidRDefault="006334E3" w:rsidP="00D238FC">
            <w:pPr>
              <w:rPr>
                <w:rFonts w:cs="Arial"/>
              </w:rPr>
            </w:pPr>
          </w:p>
        </w:tc>
      </w:tr>
      <w:tr w:rsidR="00761AE5" w:rsidRPr="00B251A0" w14:paraId="0DF02118" w14:textId="3BEE03E4" w:rsidTr="00761AE5">
        <w:tc>
          <w:tcPr>
            <w:tcW w:w="3256" w:type="dxa"/>
          </w:tcPr>
          <w:p w14:paraId="3403B980" w14:textId="77777777" w:rsidR="00761AE5" w:rsidRPr="00B251A0" w:rsidRDefault="00761AE5" w:rsidP="00761AE5">
            <w:pPr>
              <w:rPr>
                <w:rFonts w:cs="Arial"/>
              </w:rPr>
            </w:pPr>
            <w:r w:rsidRPr="00B251A0">
              <w:rPr>
                <w:rFonts w:cs="Arial"/>
              </w:rPr>
              <w:t>BG/BG: Biodiversity and geodiversity</w:t>
            </w:r>
          </w:p>
        </w:tc>
        <w:tc>
          <w:tcPr>
            <w:tcW w:w="5760" w:type="dxa"/>
          </w:tcPr>
          <w:p w14:paraId="35182316" w14:textId="77777777" w:rsidR="00761AE5" w:rsidRPr="00B251A0" w:rsidRDefault="00761AE5" w:rsidP="00761AE5">
            <w:pPr>
              <w:rPr>
                <w:rFonts w:cs="Arial"/>
              </w:rPr>
            </w:pPr>
          </w:p>
        </w:tc>
      </w:tr>
      <w:tr w:rsidR="00761AE5" w:rsidRPr="00B251A0" w14:paraId="35F50067" w14:textId="7A06D3FD" w:rsidTr="00761AE5">
        <w:tc>
          <w:tcPr>
            <w:tcW w:w="3256" w:type="dxa"/>
          </w:tcPr>
          <w:p w14:paraId="50325508" w14:textId="77777777" w:rsidR="00761AE5" w:rsidRPr="00B251A0" w:rsidRDefault="00761AE5" w:rsidP="00761AE5">
            <w:pPr>
              <w:rPr>
                <w:rFonts w:cs="Arial"/>
              </w:rPr>
            </w:pPr>
            <w:r w:rsidRPr="00B251A0">
              <w:rPr>
                <w:rFonts w:cs="Arial"/>
              </w:rPr>
              <w:t xml:space="preserve">BG/GI: Green infrastructure </w:t>
            </w:r>
          </w:p>
        </w:tc>
        <w:tc>
          <w:tcPr>
            <w:tcW w:w="5760" w:type="dxa"/>
          </w:tcPr>
          <w:p w14:paraId="72FF784F" w14:textId="77777777" w:rsidR="00761AE5" w:rsidRPr="00B251A0" w:rsidRDefault="00761AE5" w:rsidP="00761AE5">
            <w:pPr>
              <w:rPr>
                <w:rFonts w:cs="Arial"/>
              </w:rPr>
            </w:pPr>
          </w:p>
        </w:tc>
      </w:tr>
      <w:tr w:rsidR="00761AE5" w:rsidRPr="00B251A0" w14:paraId="65A7399D" w14:textId="4DB76203" w:rsidTr="00761AE5">
        <w:tc>
          <w:tcPr>
            <w:tcW w:w="3256" w:type="dxa"/>
          </w:tcPr>
          <w:p w14:paraId="131D49DC" w14:textId="77777777" w:rsidR="00761AE5" w:rsidRPr="00B251A0" w:rsidRDefault="00761AE5" w:rsidP="00761AE5">
            <w:pPr>
              <w:rPr>
                <w:rFonts w:cs="Arial"/>
              </w:rPr>
            </w:pPr>
            <w:r w:rsidRPr="00B251A0">
              <w:rPr>
                <w:rFonts w:cs="Arial"/>
              </w:rPr>
              <w:t>BG/TC: Improving Tree canopy cover and the tree population</w:t>
            </w:r>
          </w:p>
        </w:tc>
        <w:tc>
          <w:tcPr>
            <w:tcW w:w="5760" w:type="dxa"/>
          </w:tcPr>
          <w:p w14:paraId="0F37FBE9" w14:textId="77777777" w:rsidR="00761AE5" w:rsidRPr="00B251A0" w:rsidRDefault="00761AE5" w:rsidP="00761AE5">
            <w:pPr>
              <w:rPr>
                <w:rFonts w:cs="Arial"/>
              </w:rPr>
            </w:pPr>
          </w:p>
        </w:tc>
      </w:tr>
      <w:tr w:rsidR="00761AE5" w:rsidRPr="00B251A0" w14:paraId="2AC3BB83" w14:textId="71C7E5EB" w:rsidTr="00761AE5">
        <w:tc>
          <w:tcPr>
            <w:tcW w:w="3256" w:type="dxa"/>
          </w:tcPr>
          <w:p w14:paraId="5B5A1AD1" w14:textId="77777777" w:rsidR="00761AE5" w:rsidRPr="00B251A0" w:rsidRDefault="00761AE5" w:rsidP="00761AE5">
            <w:pPr>
              <w:rPr>
                <w:rFonts w:cs="Arial"/>
              </w:rPr>
            </w:pPr>
            <w:r w:rsidRPr="00B251A0">
              <w:rPr>
                <w:rFonts w:cs="Arial"/>
              </w:rPr>
              <w:t>BG/RC: River corridors</w:t>
            </w:r>
          </w:p>
        </w:tc>
        <w:tc>
          <w:tcPr>
            <w:tcW w:w="5760" w:type="dxa"/>
          </w:tcPr>
          <w:p w14:paraId="1CCC6521" w14:textId="77777777" w:rsidR="00761AE5" w:rsidRPr="00B251A0" w:rsidRDefault="00761AE5" w:rsidP="00761AE5">
            <w:pPr>
              <w:rPr>
                <w:rFonts w:cs="Arial"/>
              </w:rPr>
            </w:pPr>
          </w:p>
        </w:tc>
      </w:tr>
      <w:tr w:rsidR="00761AE5" w:rsidRPr="00B251A0" w14:paraId="6153565B" w14:textId="68506719" w:rsidTr="00761AE5">
        <w:tc>
          <w:tcPr>
            <w:tcW w:w="3256" w:type="dxa"/>
          </w:tcPr>
          <w:p w14:paraId="31FD6689" w14:textId="77777777" w:rsidR="00761AE5" w:rsidRPr="00B251A0" w:rsidRDefault="00761AE5" w:rsidP="00761AE5">
            <w:pPr>
              <w:rPr>
                <w:rFonts w:cs="Arial"/>
              </w:rPr>
            </w:pPr>
            <w:r w:rsidRPr="00B251A0">
              <w:rPr>
                <w:rFonts w:cs="Arial"/>
              </w:rPr>
              <w:lastRenderedPageBreak/>
              <w:t>BG/PO: Protecting open spaces</w:t>
            </w:r>
          </w:p>
        </w:tc>
        <w:tc>
          <w:tcPr>
            <w:tcW w:w="5760" w:type="dxa"/>
          </w:tcPr>
          <w:p w14:paraId="6F900830" w14:textId="77777777" w:rsidR="00761AE5" w:rsidRPr="00B251A0" w:rsidRDefault="00761AE5" w:rsidP="00761AE5">
            <w:pPr>
              <w:rPr>
                <w:rFonts w:cs="Arial"/>
              </w:rPr>
            </w:pPr>
          </w:p>
        </w:tc>
      </w:tr>
      <w:tr w:rsidR="00761AE5" w:rsidRPr="00B251A0" w14:paraId="006FF535" w14:textId="03971F0A" w:rsidTr="00761AE5">
        <w:tc>
          <w:tcPr>
            <w:tcW w:w="3256" w:type="dxa"/>
          </w:tcPr>
          <w:p w14:paraId="5524D0ED" w14:textId="77777777" w:rsidR="00761AE5" w:rsidRPr="00B251A0" w:rsidRDefault="00761AE5" w:rsidP="00761AE5">
            <w:pPr>
              <w:rPr>
                <w:rFonts w:cs="Arial"/>
              </w:rPr>
            </w:pPr>
            <w:r w:rsidRPr="00B251A0">
              <w:rPr>
                <w:rFonts w:cs="Arial"/>
              </w:rPr>
              <w:t>BG/EO: Providing and enhancing open spaces</w:t>
            </w:r>
          </w:p>
        </w:tc>
        <w:tc>
          <w:tcPr>
            <w:tcW w:w="5760" w:type="dxa"/>
          </w:tcPr>
          <w:p w14:paraId="578E7103" w14:textId="77777777" w:rsidR="00761AE5" w:rsidRPr="00B251A0" w:rsidRDefault="00761AE5" w:rsidP="00761AE5">
            <w:pPr>
              <w:rPr>
                <w:rFonts w:cs="Arial"/>
              </w:rPr>
            </w:pPr>
          </w:p>
        </w:tc>
      </w:tr>
    </w:tbl>
    <w:p w14:paraId="7DBC718A" w14:textId="415CC886" w:rsidR="00761AE5" w:rsidRPr="00B251A0" w:rsidRDefault="00761AE5"/>
    <w:p w14:paraId="1F858D3B" w14:textId="0A6466A5" w:rsidR="00761AE5" w:rsidRPr="00B251A0" w:rsidRDefault="00761AE5" w:rsidP="00761AE5">
      <w:pPr>
        <w:pStyle w:val="Heading2"/>
      </w:pPr>
      <w:r w:rsidRPr="00B251A0">
        <w:t xml:space="preserve">Wellbeing and inclusion </w:t>
      </w:r>
    </w:p>
    <w:tbl>
      <w:tblPr>
        <w:tblStyle w:val="TableGrid"/>
        <w:tblW w:w="0" w:type="auto"/>
        <w:tblLook w:val="04A0" w:firstRow="1" w:lastRow="0" w:firstColumn="1" w:lastColumn="0" w:noHBand="0" w:noVBand="1"/>
      </w:tblPr>
      <w:tblGrid>
        <w:gridCol w:w="3256"/>
        <w:gridCol w:w="5760"/>
      </w:tblGrid>
      <w:tr w:rsidR="00761AE5" w:rsidRPr="00B251A0" w14:paraId="698A396F" w14:textId="77777777" w:rsidTr="00D238FC">
        <w:tc>
          <w:tcPr>
            <w:tcW w:w="3256" w:type="dxa"/>
          </w:tcPr>
          <w:p w14:paraId="3721417A" w14:textId="77777777" w:rsidR="00761AE5" w:rsidRPr="00B251A0" w:rsidRDefault="00761AE5" w:rsidP="00D238FC">
            <w:pPr>
              <w:rPr>
                <w:rFonts w:cs="Arial"/>
                <w:b/>
                <w:bCs/>
              </w:rPr>
            </w:pPr>
            <w:r w:rsidRPr="00B251A0">
              <w:rPr>
                <w:b/>
                <w:bCs/>
              </w:rPr>
              <w:t>Policy</w:t>
            </w:r>
          </w:p>
        </w:tc>
        <w:tc>
          <w:tcPr>
            <w:tcW w:w="5760" w:type="dxa"/>
          </w:tcPr>
          <w:p w14:paraId="11D9BF3D" w14:textId="77777777" w:rsidR="00761AE5" w:rsidRPr="00B251A0" w:rsidRDefault="00761AE5" w:rsidP="00D238FC">
            <w:pPr>
              <w:rPr>
                <w:rFonts w:cs="Arial"/>
                <w:b/>
                <w:bCs/>
              </w:rPr>
            </w:pPr>
            <w:r w:rsidRPr="00B251A0">
              <w:rPr>
                <w:b/>
                <w:bCs/>
              </w:rPr>
              <w:t>Your comments</w:t>
            </w:r>
          </w:p>
        </w:tc>
      </w:tr>
      <w:tr w:rsidR="006334E3" w:rsidRPr="00B251A0" w14:paraId="2A84740D" w14:textId="77777777" w:rsidTr="00D238FC">
        <w:tc>
          <w:tcPr>
            <w:tcW w:w="3256" w:type="dxa"/>
          </w:tcPr>
          <w:p w14:paraId="0B1BBD06" w14:textId="5FEFB7A0" w:rsidR="006334E3" w:rsidRPr="00B251A0" w:rsidRDefault="006334E3" w:rsidP="00D238FC">
            <w:pPr>
              <w:rPr>
                <w:rFonts w:cs="Arial"/>
              </w:rPr>
            </w:pPr>
            <w:r w:rsidRPr="00B251A0">
              <w:rPr>
                <w:rFonts w:cs="Arial"/>
              </w:rPr>
              <w:t>Wellbeing and inclusion - general comments</w:t>
            </w:r>
          </w:p>
        </w:tc>
        <w:tc>
          <w:tcPr>
            <w:tcW w:w="5760" w:type="dxa"/>
          </w:tcPr>
          <w:p w14:paraId="422F455A" w14:textId="77777777" w:rsidR="006334E3" w:rsidRPr="00B251A0" w:rsidRDefault="006334E3" w:rsidP="00D238FC">
            <w:pPr>
              <w:rPr>
                <w:rFonts w:cs="Arial"/>
              </w:rPr>
            </w:pPr>
          </w:p>
        </w:tc>
      </w:tr>
      <w:tr w:rsidR="00761AE5" w:rsidRPr="00B251A0" w14:paraId="3F1A86A4" w14:textId="210A1C5C" w:rsidTr="00761AE5">
        <w:tc>
          <w:tcPr>
            <w:tcW w:w="3256" w:type="dxa"/>
          </w:tcPr>
          <w:p w14:paraId="66FAD06B" w14:textId="77777777" w:rsidR="00761AE5" w:rsidRPr="00B251A0" w:rsidRDefault="00761AE5" w:rsidP="00761AE5">
            <w:pPr>
              <w:rPr>
                <w:rFonts w:cs="Arial"/>
              </w:rPr>
            </w:pPr>
            <w:r w:rsidRPr="00B251A0">
              <w:rPr>
                <w:rFonts w:cs="Arial"/>
              </w:rPr>
              <w:t>WS/HD: Creating healthy new developments</w:t>
            </w:r>
          </w:p>
        </w:tc>
        <w:tc>
          <w:tcPr>
            <w:tcW w:w="5760" w:type="dxa"/>
          </w:tcPr>
          <w:p w14:paraId="1BEECA78" w14:textId="77777777" w:rsidR="00761AE5" w:rsidRPr="00B251A0" w:rsidRDefault="00761AE5" w:rsidP="00761AE5">
            <w:pPr>
              <w:rPr>
                <w:rFonts w:cs="Arial"/>
              </w:rPr>
            </w:pPr>
          </w:p>
        </w:tc>
      </w:tr>
      <w:tr w:rsidR="00761AE5" w:rsidRPr="00B251A0" w14:paraId="213D02B1" w14:textId="32DA174A" w:rsidTr="00761AE5">
        <w:tc>
          <w:tcPr>
            <w:tcW w:w="3256" w:type="dxa"/>
          </w:tcPr>
          <w:p w14:paraId="77AC1F63" w14:textId="77777777" w:rsidR="00761AE5" w:rsidRPr="00B251A0" w:rsidRDefault="00761AE5" w:rsidP="00761AE5">
            <w:pPr>
              <w:rPr>
                <w:rFonts w:cs="Arial"/>
              </w:rPr>
            </w:pPr>
            <w:r w:rsidRPr="00B251A0">
              <w:rPr>
                <w:rFonts w:cs="Arial"/>
              </w:rPr>
              <w:t>WS/CF: Community, sports, and leisure facilities</w:t>
            </w:r>
          </w:p>
        </w:tc>
        <w:tc>
          <w:tcPr>
            <w:tcW w:w="5760" w:type="dxa"/>
          </w:tcPr>
          <w:p w14:paraId="73BC4679" w14:textId="77777777" w:rsidR="00761AE5" w:rsidRPr="00B251A0" w:rsidRDefault="00761AE5" w:rsidP="00761AE5">
            <w:pPr>
              <w:rPr>
                <w:rFonts w:cs="Arial"/>
              </w:rPr>
            </w:pPr>
          </w:p>
        </w:tc>
      </w:tr>
      <w:tr w:rsidR="00761AE5" w:rsidRPr="00B251A0" w14:paraId="6DF5D74E" w14:textId="18E892EF" w:rsidTr="00761AE5">
        <w:tc>
          <w:tcPr>
            <w:tcW w:w="3256" w:type="dxa"/>
          </w:tcPr>
          <w:p w14:paraId="3C9CFF2B" w14:textId="77777777" w:rsidR="00761AE5" w:rsidRPr="00B251A0" w:rsidRDefault="00761AE5" w:rsidP="00761AE5">
            <w:pPr>
              <w:rPr>
                <w:rFonts w:cs="Arial"/>
              </w:rPr>
            </w:pPr>
            <w:r w:rsidRPr="00B251A0">
              <w:rPr>
                <w:rFonts w:cs="Arial"/>
              </w:rPr>
              <w:t>WS/MU: Meanwhile uses during long term redevelopments</w:t>
            </w:r>
          </w:p>
        </w:tc>
        <w:tc>
          <w:tcPr>
            <w:tcW w:w="5760" w:type="dxa"/>
          </w:tcPr>
          <w:p w14:paraId="2D59A1C8" w14:textId="77777777" w:rsidR="00761AE5" w:rsidRPr="00B251A0" w:rsidRDefault="00761AE5" w:rsidP="00761AE5">
            <w:pPr>
              <w:rPr>
                <w:rFonts w:cs="Arial"/>
              </w:rPr>
            </w:pPr>
          </w:p>
        </w:tc>
      </w:tr>
      <w:tr w:rsidR="00761AE5" w:rsidRPr="00B251A0" w14:paraId="5A061562" w14:textId="62A05005" w:rsidTr="00761AE5">
        <w:tc>
          <w:tcPr>
            <w:tcW w:w="3256" w:type="dxa"/>
          </w:tcPr>
          <w:p w14:paraId="0B51BE81" w14:textId="77777777" w:rsidR="00761AE5" w:rsidRPr="00B251A0" w:rsidRDefault="00761AE5" w:rsidP="00761AE5">
            <w:pPr>
              <w:rPr>
                <w:rFonts w:cs="Arial"/>
              </w:rPr>
            </w:pPr>
            <w:r w:rsidRPr="00B251A0">
              <w:rPr>
                <w:rFonts w:cs="Arial"/>
              </w:rPr>
              <w:t>WS/IO: Creating inclusive employment and business opportunities through new developments</w:t>
            </w:r>
          </w:p>
        </w:tc>
        <w:tc>
          <w:tcPr>
            <w:tcW w:w="5760" w:type="dxa"/>
          </w:tcPr>
          <w:p w14:paraId="3B2AABE7" w14:textId="77777777" w:rsidR="00761AE5" w:rsidRPr="00B251A0" w:rsidRDefault="00761AE5" w:rsidP="00761AE5">
            <w:pPr>
              <w:rPr>
                <w:rFonts w:cs="Arial"/>
              </w:rPr>
            </w:pPr>
          </w:p>
        </w:tc>
      </w:tr>
      <w:tr w:rsidR="00761AE5" w:rsidRPr="00B251A0" w14:paraId="60EFEBE7" w14:textId="6F119FD2" w:rsidTr="00761AE5">
        <w:tc>
          <w:tcPr>
            <w:tcW w:w="3256" w:type="dxa"/>
          </w:tcPr>
          <w:p w14:paraId="366F251F" w14:textId="77777777" w:rsidR="00761AE5" w:rsidRPr="00B251A0" w:rsidRDefault="00761AE5" w:rsidP="00761AE5">
            <w:pPr>
              <w:rPr>
                <w:rFonts w:cs="Arial"/>
              </w:rPr>
            </w:pPr>
            <w:r w:rsidRPr="00B251A0">
              <w:rPr>
                <w:rFonts w:cs="Arial"/>
              </w:rPr>
              <w:t>WS/HS: Pollution, health and safety</w:t>
            </w:r>
          </w:p>
        </w:tc>
        <w:tc>
          <w:tcPr>
            <w:tcW w:w="5760" w:type="dxa"/>
          </w:tcPr>
          <w:p w14:paraId="122D3281" w14:textId="77777777" w:rsidR="00761AE5" w:rsidRPr="00B251A0" w:rsidRDefault="00761AE5" w:rsidP="00761AE5">
            <w:pPr>
              <w:rPr>
                <w:rFonts w:cs="Arial"/>
              </w:rPr>
            </w:pPr>
          </w:p>
        </w:tc>
      </w:tr>
    </w:tbl>
    <w:p w14:paraId="76CA52F4" w14:textId="4ADD4F9A" w:rsidR="00761AE5" w:rsidRPr="00B251A0" w:rsidRDefault="00761AE5"/>
    <w:p w14:paraId="2743B59E" w14:textId="6913BC2E" w:rsidR="00761AE5" w:rsidRPr="00B251A0" w:rsidRDefault="00761AE5" w:rsidP="00761AE5">
      <w:pPr>
        <w:pStyle w:val="Heading2"/>
      </w:pPr>
      <w:r w:rsidRPr="00B251A0">
        <w:t>Great places policies</w:t>
      </w:r>
    </w:p>
    <w:tbl>
      <w:tblPr>
        <w:tblStyle w:val="TableGrid"/>
        <w:tblW w:w="0" w:type="auto"/>
        <w:tblLook w:val="04A0" w:firstRow="1" w:lastRow="0" w:firstColumn="1" w:lastColumn="0" w:noHBand="0" w:noVBand="1"/>
      </w:tblPr>
      <w:tblGrid>
        <w:gridCol w:w="3256"/>
        <w:gridCol w:w="5760"/>
      </w:tblGrid>
      <w:tr w:rsidR="00761AE5" w:rsidRPr="00B251A0" w14:paraId="789321C4" w14:textId="77777777" w:rsidTr="00D238FC">
        <w:tc>
          <w:tcPr>
            <w:tcW w:w="3256" w:type="dxa"/>
          </w:tcPr>
          <w:p w14:paraId="35270DD9" w14:textId="77777777" w:rsidR="00761AE5" w:rsidRPr="00B251A0" w:rsidRDefault="00761AE5" w:rsidP="00D238FC">
            <w:pPr>
              <w:rPr>
                <w:rFonts w:cs="Arial"/>
                <w:b/>
                <w:bCs/>
              </w:rPr>
            </w:pPr>
            <w:r w:rsidRPr="00B251A0">
              <w:rPr>
                <w:b/>
                <w:bCs/>
              </w:rPr>
              <w:t>Policy</w:t>
            </w:r>
          </w:p>
        </w:tc>
        <w:tc>
          <w:tcPr>
            <w:tcW w:w="5760" w:type="dxa"/>
          </w:tcPr>
          <w:p w14:paraId="364B0F34" w14:textId="77777777" w:rsidR="00761AE5" w:rsidRPr="00B251A0" w:rsidRDefault="00761AE5" w:rsidP="00D238FC">
            <w:pPr>
              <w:rPr>
                <w:rFonts w:cs="Arial"/>
                <w:b/>
                <w:bCs/>
              </w:rPr>
            </w:pPr>
            <w:r w:rsidRPr="00B251A0">
              <w:rPr>
                <w:b/>
                <w:bCs/>
              </w:rPr>
              <w:t>Your comments</w:t>
            </w:r>
          </w:p>
        </w:tc>
      </w:tr>
      <w:tr w:rsidR="006334E3" w:rsidRPr="00B251A0" w14:paraId="37930057" w14:textId="77777777" w:rsidTr="00D238FC">
        <w:tc>
          <w:tcPr>
            <w:tcW w:w="3256" w:type="dxa"/>
          </w:tcPr>
          <w:p w14:paraId="33A7D7F5" w14:textId="504274F5" w:rsidR="006334E3" w:rsidRPr="00B251A0" w:rsidRDefault="006334E3" w:rsidP="00D238FC">
            <w:r w:rsidRPr="00B251A0">
              <w:t>Great places – general comments</w:t>
            </w:r>
          </w:p>
        </w:tc>
        <w:tc>
          <w:tcPr>
            <w:tcW w:w="5760" w:type="dxa"/>
          </w:tcPr>
          <w:p w14:paraId="4914A1E1" w14:textId="77777777" w:rsidR="006334E3" w:rsidRPr="00B251A0" w:rsidRDefault="006334E3" w:rsidP="00D238FC"/>
        </w:tc>
      </w:tr>
      <w:tr w:rsidR="00761AE5" w:rsidRPr="00B251A0" w14:paraId="5AE58D21" w14:textId="5AE4A6C5" w:rsidTr="00761AE5">
        <w:tc>
          <w:tcPr>
            <w:tcW w:w="3256" w:type="dxa"/>
          </w:tcPr>
          <w:p w14:paraId="132DB0D5" w14:textId="77777777" w:rsidR="00761AE5" w:rsidRPr="00B251A0" w:rsidRDefault="00761AE5" w:rsidP="00761AE5">
            <w:pPr>
              <w:rPr>
                <w:rFonts w:cs="Arial"/>
              </w:rPr>
            </w:pPr>
            <w:r w:rsidRPr="00B251A0">
              <w:rPr>
                <w:rFonts w:cs="Arial"/>
              </w:rPr>
              <w:t>GP/PP: People and place responsive design</w:t>
            </w:r>
          </w:p>
        </w:tc>
        <w:tc>
          <w:tcPr>
            <w:tcW w:w="5760" w:type="dxa"/>
          </w:tcPr>
          <w:p w14:paraId="10DEAE3C" w14:textId="77777777" w:rsidR="00761AE5" w:rsidRPr="00B251A0" w:rsidRDefault="00761AE5" w:rsidP="00761AE5">
            <w:pPr>
              <w:rPr>
                <w:rFonts w:cs="Arial"/>
              </w:rPr>
            </w:pPr>
          </w:p>
        </w:tc>
      </w:tr>
      <w:tr w:rsidR="00761AE5" w:rsidRPr="00B251A0" w14:paraId="229AE257" w14:textId="49CEDF08" w:rsidTr="00761AE5">
        <w:tc>
          <w:tcPr>
            <w:tcW w:w="3256" w:type="dxa"/>
          </w:tcPr>
          <w:p w14:paraId="33641C35" w14:textId="77777777" w:rsidR="00761AE5" w:rsidRPr="00B251A0" w:rsidRDefault="00761AE5" w:rsidP="00761AE5">
            <w:pPr>
              <w:rPr>
                <w:rFonts w:cs="Arial"/>
              </w:rPr>
            </w:pPr>
            <w:r w:rsidRPr="00B251A0">
              <w:rPr>
                <w:rFonts w:cs="Arial"/>
              </w:rPr>
              <w:lastRenderedPageBreak/>
              <w:t>GP/LC: Protection and enhancement of landscape character</w:t>
            </w:r>
          </w:p>
        </w:tc>
        <w:tc>
          <w:tcPr>
            <w:tcW w:w="5760" w:type="dxa"/>
          </w:tcPr>
          <w:p w14:paraId="204F0854" w14:textId="77777777" w:rsidR="00761AE5" w:rsidRPr="00B251A0" w:rsidRDefault="00761AE5" w:rsidP="00761AE5">
            <w:pPr>
              <w:rPr>
                <w:rFonts w:cs="Arial"/>
              </w:rPr>
            </w:pPr>
          </w:p>
        </w:tc>
      </w:tr>
      <w:tr w:rsidR="00761AE5" w:rsidRPr="00B251A0" w14:paraId="6AA4B300" w14:textId="12FF50DD" w:rsidTr="00761AE5">
        <w:tc>
          <w:tcPr>
            <w:tcW w:w="3256" w:type="dxa"/>
          </w:tcPr>
          <w:p w14:paraId="2AE9E937" w14:textId="77777777" w:rsidR="00761AE5" w:rsidRPr="00B251A0" w:rsidRDefault="00761AE5" w:rsidP="00761AE5">
            <w:pPr>
              <w:rPr>
                <w:rFonts w:cs="Arial"/>
              </w:rPr>
            </w:pPr>
            <w:r w:rsidRPr="00B251A0">
              <w:rPr>
                <w:rFonts w:cs="Arial"/>
              </w:rPr>
              <w:t>GP/GB: Protection and enhancement of the Cambridge Green Belt</w:t>
            </w:r>
          </w:p>
        </w:tc>
        <w:tc>
          <w:tcPr>
            <w:tcW w:w="5760" w:type="dxa"/>
          </w:tcPr>
          <w:p w14:paraId="67CDF9A9" w14:textId="77777777" w:rsidR="00761AE5" w:rsidRPr="00B251A0" w:rsidRDefault="00761AE5" w:rsidP="00761AE5">
            <w:pPr>
              <w:rPr>
                <w:rFonts w:cs="Arial"/>
              </w:rPr>
            </w:pPr>
          </w:p>
        </w:tc>
      </w:tr>
      <w:tr w:rsidR="00761AE5" w:rsidRPr="00B251A0" w14:paraId="3D39A815" w14:textId="63EFBE41" w:rsidTr="00761AE5">
        <w:tc>
          <w:tcPr>
            <w:tcW w:w="3256" w:type="dxa"/>
          </w:tcPr>
          <w:p w14:paraId="4B7406E7" w14:textId="77777777" w:rsidR="00761AE5" w:rsidRPr="00B251A0" w:rsidRDefault="00761AE5" w:rsidP="00761AE5">
            <w:pPr>
              <w:rPr>
                <w:rFonts w:cs="Arial"/>
              </w:rPr>
            </w:pPr>
            <w:r w:rsidRPr="00B251A0">
              <w:rPr>
                <w:rFonts w:cs="Arial"/>
              </w:rPr>
              <w:t>GP/QD: Achieving high quality development</w:t>
            </w:r>
          </w:p>
        </w:tc>
        <w:tc>
          <w:tcPr>
            <w:tcW w:w="5760" w:type="dxa"/>
          </w:tcPr>
          <w:p w14:paraId="7F62B919" w14:textId="77777777" w:rsidR="00761AE5" w:rsidRPr="00B251A0" w:rsidRDefault="00761AE5" w:rsidP="00761AE5">
            <w:pPr>
              <w:rPr>
                <w:rFonts w:cs="Arial"/>
              </w:rPr>
            </w:pPr>
          </w:p>
        </w:tc>
      </w:tr>
      <w:tr w:rsidR="00761AE5" w:rsidRPr="00B251A0" w14:paraId="47BCBECE" w14:textId="0963ED18" w:rsidTr="00761AE5">
        <w:tc>
          <w:tcPr>
            <w:tcW w:w="3256" w:type="dxa"/>
          </w:tcPr>
          <w:p w14:paraId="67F1F123" w14:textId="77777777" w:rsidR="00761AE5" w:rsidRPr="00B251A0" w:rsidRDefault="00761AE5" w:rsidP="00761AE5">
            <w:pPr>
              <w:rPr>
                <w:rFonts w:cs="Arial"/>
              </w:rPr>
            </w:pPr>
            <w:r w:rsidRPr="00B251A0">
              <w:rPr>
                <w:rFonts w:cs="Arial"/>
              </w:rPr>
              <w:t>GP/QP: Establishing high quality landscape and public realm</w:t>
            </w:r>
          </w:p>
        </w:tc>
        <w:tc>
          <w:tcPr>
            <w:tcW w:w="5760" w:type="dxa"/>
          </w:tcPr>
          <w:p w14:paraId="598B72AE" w14:textId="77777777" w:rsidR="00761AE5" w:rsidRPr="00B251A0" w:rsidRDefault="00761AE5" w:rsidP="00761AE5">
            <w:pPr>
              <w:rPr>
                <w:rFonts w:cs="Arial"/>
              </w:rPr>
            </w:pPr>
          </w:p>
        </w:tc>
      </w:tr>
      <w:tr w:rsidR="00761AE5" w:rsidRPr="00B251A0" w14:paraId="64CFC484" w14:textId="55BB698E" w:rsidTr="00761AE5">
        <w:tc>
          <w:tcPr>
            <w:tcW w:w="3256" w:type="dxa"/>
          </w:tcPr>
          <w:p w14:paraId="2EF0BEAD" w14:textId="77777777" w:rsidR="00761AE5" w:rsidRPr="00B251A0" w:rsidRDefault="00761AE5" w:rsidP="00761AE5">
            <w:pPr>
              <w:rPr>
                <w:rFonts w:cs="Arial"/>
              </w:rPr>
            </w:pPr>
            <w:r w:rsidRPr="00B251A0">
              <w:rPr>
                <w:rFonts w:cs="Arial"/>
              </w:rPr>
              <w:t>GP/HA: Conservation and enhancement of heritage assets</w:t>
            </w:r>
          </w:p>
        </w:tc>
        <w:tc>
          <w:tcPr>
            <w:tcW w:w="5760" w:type="dxa"/>
          </w:tcPr>
          <w:p w14:paraId="11CD5F74" w14:textId="77777777" w:rsidR="00761AE5" w:rsidRPr="00B251A0" w:rsidRDefault="00761AE5" w:rsidP="00761AE5">
            <w:pPr>
              <w:rPr>
                <w:rFonts w:cs="Arial"/>
              </w:rPr>
            </w:pPr>
          </w:p>
        </w:tc>
      </w:tr>
      <w:tr w:rsidR="00761AE5" w:rsidRPr="00B251A0" w14:paraId="1A6F1CFB" w14:textId="0ED3AA14" w:rsidTr="00761AE5">
        <w:tc>
          <w:tcPr>
            <w:tcW w:w="3256" w:type="dxa"/>
          </w:tcPr>
          <w:p w14:paraId="11B2FBB6" w14:textId="77777777" w:rsidR="00761AE5" w:rsidRPr="00B251A0" w:rsidRDefault="00761AE5" w:rsidP="00761AE5">
            <w:pPr>
              <w:rPr>
                <w:rFonts w:cs="Arial"/>
              </w:rPr>
            </w:pPr>
            <w:r w:rsidRPr="00B251A0">
              <w:rPr>
                <w:rFonts w:cs="Arial"/>
              </w:rPr>
              <w:t>GP/CC: Adapting heritage assets to climate change</w:t>
            </w:r>
          </w:p>
        </w:tc>
        <w:tc>
          <w:tcPr>
            <w:tcW w:w="5760" w:type="dxa"/>
          </w:tcPr>
          <w:p w14:paraId="693078EF" w14:textId="77777777" w:rsidR="00761AE5" w:rsidRPr="00B251A0" w:rsidRDefault="00761AE5" w:rsidP="00761AE5">
            <w:pPr>
              <w:rPr>
                <w:rFonts w:cs="Arial"/>
              </w:rPr>
            </w:pPr>
          </w:p>
        </w:tc>
      </w:tr>
      <w:tr w:rsidR="00761AE5" w:rsidRPr="00B251A0" w14:paraId="24D9872B" w14:textId="039C6775" w:rsidTr="00761AE5">
        <w:tc>
          <w:tcPr>
            <w:tcW w:w="3256" w:type="dxa"/>
          </w:tcPr>
          <w:p w14:paraId="33B794F0" w14:textId="77777777" w:rsidR="00761AE5" w:rsidRPr="00B251A0" w:rsidRDefault="00761AE5" w:rsidP="00761AE5">
            <w:pPr>
              <w:rPr>
                <w:rFonts w:cs="Arial"/>
              </w:rPr>
            </w:pPr>
            <w:r w:rsidRPr="00B251A0">
              <w:rPr>
                <w:rFonts w:cs="Arial"/>
              </w:rPr>
              <w:t>GP/PH8: Protection of Public Houses</w:t>
            </w:r>
          </w:p>
        </w:tc>
        <w:tc>
          <w:tcPr>
            <w:tcW w:w="5760" w:type="dxa"/>
          </w:tcPr>
          <w:p w14:paraId="2239A5EF" w14:textId="77777777" w:rsidR="00761AE5" w:rsidRPr="00B251A0" w:rsidRDefault="00761AE5" w:rsidP="00761AE5">
            <w:pPr>
              <w:rPr>
                <w:rFonts w:cs="Arial"/>
              </w:rPr>
            </w:pPr>
          </w:p>
        </w:tc>
      </w:tr>
    </w:tbl>
    <w:p w14:paraId="3F836147" w14:textId="2E37AB0C" w:rsidR="00761AE5" w:rsidRPr="00B251A0" w:rsidRDefault="00761AE5"/>
    <w:p w14:paraId="28A9C56D" w14:textId="6EF204FB" w:rsidR="00761AE5" w:rsidRPr="00B251A0" w:rsidRDefault="00761AE5" w:rsidP="00761AE5">
      <w:pPr>
        <w:pStyle w:val="Heading2"/>
      </w:pPr>
      <w:r w:rsidRPr="00B251A0">
        <w:t>Jobs policies</w:t>
      </w:r>
    </w:p>
    <w:tbl>
      <w:tblPr>
        <w:tblStyle w:val="TableGrid"/>
        <w:tblW w:w="0" w:type="auto"/>
        <w:tblLook w:val="04A0" w:firstRow="1" w:lastRow="0" w:firstColumn="1" w:lastColumn="0" w:noHBand="0" w:noVBand="1"/>
      </w:tblPr>
      <w:tblGrid>
        <w:gridCol w:w="3256"/>
        <w:gridCol w:w="5760"/>
      </w:tblGrid>
      <w:tr w:rsidR="00761AE5" w:rsidRPr="00B251A0" w14:paraId="41106E78" w14:textId="77777777" w:rsidTr="00D238FC">
        <w:tc>
          <w:tcPr>
            <w:tcW w:w="3256" w:type="dxa"/>
          </w:tcPr>
          <w:p w14:paraId="71291545" w14:textId="77777777" w:rsidR="00761AE5" w:rsidRPr="00B251A0" w:rsidRDefault="00761AE5" w:rsidP="00D238FC">
            <w:pPr>
              <w:rPr>
                <w:rFonts w:cs="Arial"/>
                <w:b/>
                <w:bCs/>
              </w:rPr>
            </w:pPr>
            <w:r w:rsidRPr="00B251A0">
              <w:rPr>
                <w:b/>
                <w:bCs/>
              </w:rPr>
              <w:t>Policy</w:t>
            </w:r>
          </w:p>
        </w:tc>
        <w:tc>
          <w:tcPr>
            <w:tcW w:w="5760" w:type="dxa"/>
          </w:tcPr>
          <w:p w14:paraId="5021F067" w14:textId="77777777" w:rsidR="00761AE5" w:rsidRPr="00B251A0" w:rsidRDefault="00761AE5" w:rsidP="00D238FC">
            <w:pPr>
              <w:rPr>
                <w:rFonts w:cs="Arial"/>
                <w:b/>
                <w:bCs/>
              </w:rPr>
            </w:pPr>
            <w:r w:rsidRPr="00B251A0">
              <w:rPr>
                <w:b/>
                <w:bCs/>
              </w:rPr>
              <w:t>Your comments</w:t>
            </w:r>
          </w:p>
        </w:tc>
      </w:tr>
      <w:tr w:rsidR="006334E3" w:rsidRPr="00B251A0" w14:paraId="333AC8E5" w14:textId="77777777" w:rsidTr="00D238FC">
        <w:tc>
          <w:tcPr>
            <w:tcW w:w="3256" w:type="dxa"/>
          </w:tcPr>
          <w:p w14:paraId="0F70A4FF" w14:textId="44D68A78" w:rsidR="006334E3" w:rsidRPr="00B251A0" w:rsidRDefault="006334E3" w:rsidP="00D238FC">
            <w:r w:rsidRPr="00B251A0">
              <w:t>Jobs – general comments</w:t>
            </w:r>
          </w:p>
        </w:tc>
        <w:tc>
          <w:tcPr>
            <w:tcW w:w="5760" w:type="dxa"/>
          </w:tcPr>
          <w:p w14:paraId="6F7694E3" w14:textId="77777777" w:rsidR="006334E3" w:rsidRPr="00B251A0" w:rsidRDefault="006334E3" w:rsidP="00D238FC"/>
        </w:tc>
      </w:tr>
      <w:tr w:rsidR="00761AE5" w:rsidRPr="00B251A0" w14:paraId="43112726" w14:textId="427633AA" w:rsidTr="00761AE5">
        <w:tc>
          <w:tcPr>
            <w:tcW w:w="3256" w:type="dxa"/>
          </w:tcPr>
          <w:p w14:paraId="5179A739" w14:textId="19CA8318" w:rsidR="00761AE5" w:rsidRPr="00B251A0" w:rsidRDefault="00761AE5" w:rsidP="00761AE5">
            <w:pPr>
              <w:rPr>
                <w:rFonts w:cs="Arial"/>
              </w:rPr>
            </w:pPr>
            <w:r w:rsidRPr="00B251A0">
              <w:rPr>
                <w:rFonts w:cs="Arial"/>
              </w:rPr>
              <w:t>J/NE: New employment development proposals</w:t>
            </w:r>
          </w:p>
        </w:tc>
        <w:tc>
          <w:tcPr>
            <w:tcW w:w="5760" w:type="dxa"/>
          </w:tcPr>
          <w:p w14:paraId="4BA8D773" w14:textId="77777777" w:rsidR="00761AE5" w:rsidRPr="00B251A0" w:rsidRDefault="00761AE5" w:rsidP="00761AE5">
            <w:pPr>
              <w:rPr>
                <w:rFonts w:cs="Arial"/>
              </w:rPr>
            </w:pPr>
          </w:p>
        </w:tc>
      </w:tr>
      <w:tr w:rsidR="00761AE5" w:rsidRPr="00B251A0" w14:paraId="1CCC695B" w14:textId="275E36B0" w:rsidTr="00761AE5">
        <w:tc>
          <w:tcPr>
            <w:tcW w:w="3256" w:type="dxa"/>
          </w:tcPr>
          <w:p w14:paraId="0417B6CC" w14:textId="44F6B270" w:rsidR="00761AE5" w:rsidRPr="00B251A0" w:rsidRDefault="00761AE5" w:rsidP="00761AE5">
            <w:pPr>
              <w:rPr>
                <w:rFonts w:cs="Arial"/>
              </w:rPr>
            </w:pPr>
            <w:r w:rsidRPr="00B251A0">
              <w:rPr>
                <w:rFonts w:cs="Arial"/>
              </w:rPr>
              <w:t>J/RE: Supporting the rural Economy</w:t>
            </w:r>
          </w:p>
        </w:tc>
        <w:tc>
          <w:tcPr>
            <w:tcW w:w="5760" w:type="dxa"/>
          </w:tcPr>
          <w:p w14:paraId="6464C498" w14:textId="77777777" w:rsidR="00761AE5" w:rsidRPr="00B251A0" w:rsidRDefault="00761AE5" w:rsidP="00761AE5">
            <w:pPr>
              <w:rPr>
                <w:rFonts w:cs="Arial"/>
              </w:rPr>
            </w:pPr>
          </w:p>
        </w:tc>
      </w:tr>
      <w:tr w:rsidR="00761AE5" w:rsidRPr="00B251A0" w14:paraId="3DEC553B" w14:textId="08D6E013" w:rsidTr="00761AE5">
        <w:tc>
          <w:tcPr>
            <w:tcW w:w="3256" w:type="dxa"/>
          </w:tcPr>
          <w:p w14:paraId="68F29934" w14:textId="27F7421F" w:rsidR="00761AE5" w:rsidRPr="00B251A0" w:rsidRDefault="00761AE5" w:rsidP="00761AE5">
            <w:pPr>
              <w:rPr>
                <w:rFonts w:cs="Arial"/>
              </w:rPr>
            </w:pPr>
            <w:r w:rsidRPr="00B251A0">
              <w:rPr>
                <w:rFonts w:cs="Arial"/>
              </w:rPr>
              <w:t>J/AL: Protecting the best agricultural land</w:t>
            </w:r>
          </w:p>
        </w:tc>
        <w:tc>
          <w:tcPr>
            <w:tcW w:w="5760" w:type="dxa"/>
          </w:tcPr>
          <w:p w14:paraId="365EFF1C" w14:textId="77777777" w:rsidR="00761AE5" w:rsidRPr="00B251A0" w:rsidRDefault="00761AE5" w:rsidP="00761AE5">
            <w:pPr>
              <w:rPr>
                <w:rFonts w:cs="Arial"/>
              </w:rPr>
            </w:pPr>
          </w:p>
        </w:tc>
      </w:tr>
      <w:tr w:rsidR="00761AE5" w:rsidRPr="00B251A0" w14:paraId="2B63BD93" w14:textId="756DB693" w:rsidTr="00761AE5">
        <w:tc>
          <w:tcPr>
            <w:tcW w:w="3256" w:type="dxa"/>
          </w:tcPr>
          <w:p w14:paraId="2E8E7D25" w14:textId="77777777" w:rsidR="00761AE5" w:rsidRPr="00B251A0" w:rsidRDefault="00761AE5" w:rsidP="00761AE5">
            <w:pPr>
              <w:rPr>
                <w:rFonts w:cs="Arial"/>
              </w:rPr>
            </w:pPr>
            <w:r w:rsidRPr="00B251A0">
              <w:rPr>
                <w:rFonts w:cs="Arial"/>
              </w:rPr>
              <w:t>J/PB: Protecting existing business space</w:t>
            </w:r>
          </w:p>
        </w:tc>
        <w:tc>
          <w:tcPr>
            <w:tcW w:w="5760" w:type="dxa"/>
          </w:tcPr>
          <w:p w14:paraId="0D022AB4" w14:textId="77777777" w:rsidR="00761AE5" w:rsidRPr="00B251A0" w:rsidRDefault="00761AE5" w:rsidP="00761AE5">
            <w:pPr>
              <w:rPr>
                <w:rFonts w:cs="Arial"/>
              </w:rPr>
            </w:pPr>
          </w:p>
        </w:tc>
      </w:tr>
      <w:tr w:rsidR="00761AE5" w:rsidRPr="00B251A0" w14:paraId="56DE6DC9" w14:textId="272CF443" w:rsidTr="00761AE5">
        <w:tc>
          <w:tcPr>
            <w:tcW w:w="3256" w:type="dxa"/>
          </w:tcPr>
          <w:p w14:paraId="2C6C6EAB" w14:textId="77777777" w:rsidR="00761AE5" w:rsidRPr="00B251A0" w:rsidRDefault="00761AE5" w:rsidP="00761AE5">
            <w:pPr>
              <w:rPr>
                <w:rFonts w:cs="Arial"/>
              </w:rPr>
            </w:pPr>
            <w:r w:rsidRPr="00B251A0">
              <w:rPr>
                <w:rFonts w:cs="Arial"/>
              </w:rPr>
              <w:lastRenderedPageBreak/>
              <w:t>J/RW: Enabling remote working</w:t>
            </w:r>
          </w:p>
        </w:tc>
        <w:tc>
          <w:tcPr>
            <w:tcW w:w="5760" w:type="dxa"/>
          </w:tcPr>
          <w:p w14:paraId="02A38303" w14:textId="77777777" w:rsidR="00761AE5" w:rsidRPr="00B251A0" w:rsidRDefault="00761AE5" w:rsidP="00761AE5">
            <w:pPr>
              <w:rPr>
                <w:rFonts w:cs="Arial"/>
              </w:rPr>
            </w:pPr>
          </w:p>
        </w:tc>
      </w:tr>
      <w:tr w:rsidR="00761AE5" w:rsidRPr="00B251A0" w14:paraId="1BB31432" w14:textId="55E5C74E" w:rsidTr="00761AE5">
        <w:tc>
          <w:tcPr>
            <w:tcW w:w="3256" w:type="dxa"/>
          </w:tcPr>
          <w:p w14:paraId="2E26A5CA" w14:textId="77777777" w:rsidR="00761AE5" w:rsidRPr="00B251A0" w:rsidRDefault="00761AE5" w:rsidP="00761AE5">
            <w:pPr>
              <w:rPr>
                <w:rFonts w:cs="Arial"/>
              </w:rPr>
            </w:pPr>
            <w:r w:rsidRPr="00B251A0">
              <w:rPr>
                <w:rFonts w:cs="Arial"/>
              </w:rPr>
              <w:t>J/AW: Affordable workspace and creative industries</w:t>
            </w:r>
          </w:p>
        </w:tc>
        <w:tc>
          <w:tcPr>
            <w:tcW w:w="5760" w:type="dxa"/>
          </w:tcPr>
          <w:p w14:paraId="6B1BE489" w14:textId="77777777" w:rsidR="00761AE5" w:rsidRPr="00B251A0" w:rsidRDefault="00761AE5" w:rsidP="00761AE5">
            <w:pPr>
              <w:rPr>
                <w:rFonts w:cs="Arial"/>
              </w:rPr>
            </w:pPr>
          </w:p>
        </w:tc>
      </w:tr>
      <w:tr w:rsidR="00761AE5" w:rsidRPr="00B251A0" w14:paraId="54814AD5" w14:textId="281B4D83" w:rsidTr="00761AE5">
        <w:tc>
          <w:tcPr>
            <w:tcW w:w="3256" w:type="dxa"/>
          </w:tcPr>
          <w:p w14:paraId="401A8586" w14:textId="77777777" w:rsidR="00761AE5" w:rsidRPr="00B251A0" w:rsidRDefault="00761AE5" w:rsidP="00761AE5">
            <w:pPr>
              <w:rPr>
                <w:rFonts w:cs="Arial"/>
              </w:rPr>
            </w:pPr>
            <w:r w:rsidRPr="00B251A0">
              <w:rPr>
                <w:rFonts w:cs="Arial"/>
              </w:rPr>
              <w:t>J/EP: Supporting a range of facilities in employment parks</w:t>
            </w:r>
          </w:p>
        </w:tc>
        <w:tc>
          <w:tcPr>
            <w:tcW w:w="5760" w:type="dxa"/>
          </w:tcPr>
          <w:p w14:paraId="3A796A3D" w14:textId="77777777" w:rsidR="00761AE5" w:rsidRPr="00B251A0" w:rsidRDefault="00761AE5" w:rsidP="00761AE5">
            <w:pPr>
              <w:rPr>
                <w:rFonts w:cs="Arial"/>
              </w:rPr>
            </w:pPr>
          </w:p>
        </w:tc>
      </w:tr>
      <w:tr w:rsidR="00761AE5" w:rsidRPr="00B251A0" w14:paraId="23F812CB" w14:textId="5EED8338" w:rsidTr="00761AE5">
        <w:tc>
          <w:tcPr>
            <w:tcW w:w="3256" w:type="dxa"/>
          </w:tcPr>
          <w:p w14:paraId="7F20AF75" w14:textId="77777777" w:rsidR="00761AE5" w:rsidRPr="00B251A0" w:rsidRDefault="00761AE5" w:rsidP="00761AE5">
            <w:pPr>
              <w:rPr>
                <w:rFonts w:cs="Arial"/>
              </w:rPr>
            </w:pPr>
            <w:r w:rsidRPr="00B251A0">
              <w:rPr>
                <w:rFonts w:cs="Arial"/>
              </w:rPr>
              <w:t>J/RC: Retail and centres</w:t>
            </w:r>
          </w:p>
        </w:tc>
        <w:tc>
          <w:tcPr>
            <w:tcW w:w="5760" w:type="dxa"/>
          </w:tcPr>
          <w:p w14:paraId="58CFEC1C" w14:textId="77777777" w:rsidR="00761AE5" w:rsidRPr="00B251A0" w:rsidRDefault="00761AE5" w:rsidP="00761AE5">
            <w:pPr>
              <w:rPr>
                <w:rFonts w:cs="Arial"/>
              </w:rPr>
            </w:pPr>
          </w:p>
        </w:tc>
      </w:tr>
      <w:tr w:rsidR="00761AE5" w:rsidRPr="00B251A0" w14:paraId="3266B600" w14:textId="3BA1D62C" w:rsidTr="00761AE5">
        <w:tc>
          <w:tcPr>
            <w:tcW w:w="3256" w:type="dxa"/>
          </w:tcPr>
          <w:p w14:paraId="7EF5AFD0" w14:textId="77777777" w:rsidR="00761AE5" w:rsidRPr="00B251A0" w:rsidRDefault="00761AE5" w:rsidP="00761AE5">
            <w:pPr>
              <w:rPr>
                <w:rFonts w:cs="Arial"/>
              </w:rPr>
            </w:pPr>
            <w:r w:rsidRPr="00B251A0">
              <w:rPr>
                <w:rFonts w:cs="Arial"/>
              </w:rPr>
              <w:t>J/VA: Visitor accommodation, attractions and facilities</w:t>
            </w:r>
          </w:p>
        </w:tc>
        <w:tc>
          <w:tcPr>
            <w:tcW w:w="5760" w:type="dxa"/>
          </w:tcPr>
          <w:p w14:paraId="4AA23452" w14:textId="77777777" w:rsidR="00761AE5" w:rsidRPr="00B251A0" w:rsidRDefault="00761AE5" w:rsidP="00761AE5">
            <w:pPr>
              <w:rPr>
                <w:rFonts w:cs="Arial"/>
              </w:rPr>
            </w:pPr>
          </w:p>
        </w:tc>
      </w:tr>
      <w:tr w:rsidR="00761AE5" w:rsidRPr="00B251A0" w14:paraId="056A634D" w14:textId="4BBDFB90" w:rsidTr="00761AE5">
        <w:tc>
          <w:tcPr>
            <w:tcW w:w="3256" w:type="dxa"/>
          </w:tcPr>
          <w:p w14:paraId="2960E628" w14:textId="77777777" w:rsidR="00761AE5" w:rsidRPr="00B251A0" w:rsidRDefault="00761AE5" w:rsidP="00761AE5">
            <w:pPr>
              <w:rPr>
                <w:rFonts w:cs="Arial"/>
              </w:rPr>
            </w:pPr>
            <w:r w:rsidRPr="00B251A0">
              <w:rPr>
                <w:rFonts w:cs="Arial"/>
              </w:rPr>
              <w:t>J/FD: Faculty development and specialist / language schools</w:t>
            </w:r>
          </w:p>
        </w:tc>
        <w:tc>
          <w:tcPr>
            <w:tcW w:w="5760" w:type="dxa"/>
          </w:tcPr>
          <w:p w14:paraId="5268B1FB" w14:textId="77777777" w:rsidR="00761AE5" w:rsidRPr="00B251A0" w:rsidRDefault="00761AE5" w:rsidP="00761AE5">
            <w:pPr>
              <w:rPr>
                <w:rFonts w:cs="Arial"/>
              </w:rPr>
            </w:pPr>
          </w:p>
        </w:tc>
      </w:tr>
    </w:tbl>
    <w:p w14:paraId="53B06DDC" w14:textId="32737F84" w:rsidR="00761AE5" w:rsidRPr="00B251A0" w:rsidRDefault="00761AE5"/>
    <w:p w14:paraId="13EFC8B1" w14:textId="7B69D71E" w:rsidR="00761AE5" w:rsidRPr="00B251A0" w:rsidRDefault="00761AE5" w:rsidP="00761AE5">
      <w:pPr>
        <w:pStyle w:val="Heading2"/>
      </w:pPr>
      <w:r w:rsidRPr="00B251A0">
        <w:t>Homes policies</w:t>
      </w:r>
    </w:p>
    <w:tbl>
      <w:tblPr>
        <w:tblStyle w:val="TableGrid"/>
        <w:tblW w:w="0" w:type="auto"/>
        <w:tblLook w:val="04A0" w:firstRow="1" w:lastRow="0" w:firstColumn="1" w:lastColumn="0" w:noHBand="0" w:noVBand="1"/>
      </w:tblPr>
      <w:tblGrid>
        <w:gridCol w:w="3256"/>
        <w:gridCol w:w="5760"/>
      </w:tblGrid>
      <w:tr w:rsidR="00761AE5" w:rsidRPr="00B251A0" w14:paraId="0E8A77F8" w14:textId="77777777" w:rsidTr="00D238FC">
        <w:tc>
          <w:tcPr>
            <w:tcW w:w="3256" w:type="dxa"/>
          </w:tcPr>
          <w:p w14:paraId="266E8D37" w14:textId="77777777" w:rsidR="00761AE5" w:rsidRPr="00B251A0" w:rsidRDefault="00761AE5" w:rsidP="00D238FC">
            <w:pPr>
              <w:rPr>
                <w:rFonts w:cs="Arial"/>
                <w:b/>
                <w:bCs/>
              </w:rPr>
            </w:pPr>
            <w:r w:rsidRPr="00B251A0">
              <w:rPr>
                <w:b/>
                <w:bCs/>
              </w:rPr>
              <w:t>Policy</w:t>
            </w:r>
          </w:p>
        </w:tc>
        <w:tc>
          <w:tcPr>
            <w:tcW w:w="5760" w:type="dxa"/>
          </w:tcPr>
          <w:p w14:paraId="7A2C3F6F" w14:textId="77777777" w:rsidR="00761AE5" w:rsidRPr="00B251A0" w:rsidRDefault="00761AE5" w:rsidP="00D238FC">
            <w:pPr>
              <w:rPr>
                <w:rFonts w:cs="Arial"/>
                <w:b/>
                <w:bCs/>
              </w:rPr>
            </w:pPr>
            <w:r w:rsidRPr="00B251A0">
              <w:rPr>
                <w:b/>
                <w:bCs/>
              </w:rPr>
              <w:t>Your comments</w:t>
            </w:r>
          </w:p>
        </w:tc>
      </w:tr>
      <w:tr w:rsidR="006334E3" w:rsidRPr="00B251A0" w14:paraId="15881DBF" w14:textId="77777777" w:rsidTr="00D238FC">
        <w:tc>
          <w:tcPr>
            <w:tcW w:w="3256" w:type="dxa"/>
          </w:tcPr>
          <w:p w14:paraId="469358AD" w14:textId="47F799DB" w:rsidR="006334E3" w:rsidRPr="00B251A0" w:rsidRDefault="006334E3" w:rsidP="00D238FC">
            <w:r w:rsidRPr="00B251A0">
              <w:t>Homes – general comments</w:t>
            </w:r>
          </w:p>
        </w:tc>
        <w:tc>
          <w:tcPr>
            <w:tcW w:w="5760" w:type="dxa"/>
          </w:tcPr>
          <w:p w14:paraId="1DBDCDAD" w14:textId="77777777" w:rsidR="006334E3" w:rsidRPr="00B251A0" w:rsidRDefault="006334E3" w:rsidP="00D238FC"/>
        </w:tc>
      </w:tr>
      <w:tr w:rsidR="00761AE5" w:rsidRPr="00B251A0" w14:paraId="2EFF9D21" w14:textId="1D02DDBC" w:rsidTr="00761AE5">
        <w:tc>
          <w:tcPr>
            <w:tcW w:w="3256" w:type="dxa"/>
          </w:tcPr>
          <w:p w14:paraId="5E4F9B24" w14:textId="77777777" w:rsidR="00761AE5" w:rsidRPr="00B251A0" w:rsidRDefault="00761AE5" w:rsidP="00761AE5">
            <w:pPr>
              <w:rPr>
                <w:rFonts w:cs="Arial"/>
              </w:rPr>
            </w:pPr>
            <w:r w:rsidRPr="00B251A0">
              <w:rPr>
                <w:rFonts w:cs="Arial"/>
              </w:rPr>
              <w:t>H/AH: Affordable housing</w:t>
            </w:r>
          </w:p>
        </w:tc>
        <w:tc>
          <w:tcPr>
            <w:tcW w:w="5760" w:type="dxa"/>
          </w:tcPr>
          <w:p w14:paraId="12012D1F" w14:textId="77777777" w:rsidR="00761AE5" w:rsidRPr="00B251A0" w:rsidRDefault="00761AE5" w:rsidP="00761AE5">
            <w:pPr>
              <w:rPr>
                <w:rFonts w:cs="Arial"/>
              </w:rPr>
            </w:pPr>
          </w:p>
        </w:tc>
      </w:tr>
      <w:tr w:rsidR="00761AE5" w:rsidRPr="00B251A0" w14:paraId="536C7130" w14:textId="522CBE1A" w:rsidTr="00761AE5">
        <w:tc>
          <w:tcPr>
            <w:tcW w:w="3256" w:type="dxa"/>
          </w:tcPr>
          <w:p w14:paraId="1F3BC7CB" w14:textId="77777777" w:rsidR="00761AE5" w:rsidRPr="00B251A0" w:rsidRDefault="00761AE5" w:rsidP="00761AE5">
            <w:pPr>
              <w:rPr>
                <w:rFonts w:cs="Arial"/>
              </w:rPr>
            </w:pPr>
            <w:r w:rsidRPr="00B251A0">
              <w:rPr>
                <w:rFonts w:cs="Arial"/>
              </w:rPr>
              <w:t>H/ES: Exception sites for affordable housing</w:t>
            </w:r>
          </w:p>
        </w:tc>
        <w:tc>
          <w:tcPr>
            <w:tcW w:w="5760" w:type="dxa"/>
          </w:tcPr>
          <w:p w14:paraId="1985BBFF" w14:textId="77777777" w:rsidR="00761AE5" w:rsidRPr="00B251A0" w:rsidRDefault="00761AE5" w:rsidP="00761AE5">
            <w:pPr>
              <w:rPr>
                <w:rFonts w:cs="Arial"/>
              </w:rPr>
            </w:pPr>
          </w:p>
        </w:tc>
      </w:tr>
      <w:tr w:rsidR="00761AE5" w:rsidRPr="00B251A0" w14:paraId="4D7B8075" w14:textId="3A89E33A" w:rsidTr="00761AE5">
        <w:tc>
          <w:tcPr>
            <w:tcW w:w="3256" w:type="dxa"/>
          </w:tcPr>
          <w:p w14:paraId="023F325B" w14:textId="77777777" w:rsidR="00761AE5" w:rsidRPr="00B251A0" w:rsidRDefault="00761AE5" w:rsidP="00761AE5">
            <w:pPr>
              <w:rPr>
                <w:rFonts w:cs="Arial"/>
              </w:rPr>
            </w:pPr>
            <w:r w:rsidRPr="00B251A0">
              <w:rPr>
                <w:rFonts w:cs="Arial"/>
              </w:rPr>
              <w:t>H/HM: Housing mix</w:t>
            </w:r>
          </w:p>
        </w:tc>
        <w:tc>
          <w:tcPr>
            <w:tcW w:w="5760" w:type="dxa"/>
          </w:tcPr>
          <w:p w14:paraId="56DF0DBF" w14:textId="77777777" w:rsidR="00761AE5" w:rsidRPr="00B251A0" w:rsidRDefault="00761AE5" w:rsidP="00761AE5">
            <w:pPr>
              <w:rPr>
                <w:rFonts w:cs="Arial"/>
              </w:rPr>
            </w:pPr>
          </w:p>
        </w:tc>
      </w:tr>
      <w:tr w:rsidR="00761AE5" w:rsidRPr="00B251A0" w14:paraId="7EA24A8D" w14:textId="461F44E2" w:rsidTr="00761AE5">
        <w:tc>
          <w:tcPr>
            <w:tcW w:w="3256" w:type="dxa"/>
          </w:tcPr>
          <w:p w14:paraId="15FBF993" w14:textId="77777777" w:rsidR="00761AE5" w:rsidRPr="00B251A0" w:rsidRDefault="00761AE5" w:rsidP="00761AE5">
            <w:pPr>
              <w:rPr>
                <w:rFonts w:cs="Arial"/>
              </w:rPr>
            </w:pPr>
            <w:r w:rsidRPr="00B251A0">
              <w:rPr>
                <w:rFonts w:cs="Arial"/>
              </w:rPr>
              <w:t>H/HD: Housing density</w:t>
            </w:r>
          </w:p>
        </w:tc>
        <w:tc>
          <w:tcPr>
            <w:tcW w:w="5760" w:type="dxa"/>
          </w:tcPr>
          <w:p w14:paraId="38A26C8A" w14:textId="77777777" w:rsidR="00761AE5" w:rsidRPr="00B251A0" w:rsidRDefault="00761AE5" w:rsidP="00761AE5">
            <w:pPr>
              <w:rPr>
                <w:rFonts w:cs="Arial"/>
              </w:rPr>
            </w:pPr>
          </w:p>
        </w:tc>
      </w:tr>
      <w:tr w:rsidR="00761AE5" w:rsidRPr="00B251A0" w14:paraId="784F82C2" w14:textId="4A2ACD30" w:rsidTr="00761AE5">
        <w:tc>
          <w:tcPr>
            <w:tcW w:w="3256" w:type="dxa"/>
          </w:tcPr>
          <w:p w14:paraId="3312EE5F" w14:textId="77777777" w:rsidR="00761AE5" w:rsidRPr="00B251A0" w:rsidRDefault="00761AE5" w:rsidP="00761AE5">
            <w:pPr>
              <w:rPr>
                <w:rFonts w:cs="Arial"/>
              </w:rPr>
            </w:pPr>
            <w:r w:rsidRPr="00B251A0">
              <w:rPr>
                <w:rFonts w:cs="Arial"/>
              </w:rPr>
              <w:t>H/GL: Garden land and subdivision of existing plots</w:t>
            </w:r>
          </w:p>
        </w:tc>
        <w:tc>
          <w:tcPr>
            <w:tcW w:w="5760" w:type="dxa"/>
          </w:tcPr>
          <w:p w14:paraId="670E8938" w14:textId="77777777" w:rsidR="00761AE5" w:rsidRPr="00B251A0" w:rsidRDefault="00761AE5" w:rsidP="00761AE5">
            <w:pPr>
              <w:rPr>
                <w:rFonts w:cs="Arial"/>
              </w:rPr>
            </w:pPr>
          </w:p>
        </w:tc>
      </w:tr>
      <w:tr w:rsidR="00761AE5" w:rsidRPr="00B251A0" w14:paraId="5CD93FAE" w14:textId="33B320EE" w:rsidTr="00761AE5">
        <w:tc>
          <w:tcPr>
            <w:tcW w:w="3256" w:type="dxa"/>
          </w:tcPr>
          <w:p w14:paraId="1D583AEC" w14:textId="77777777" w:rsidR="00761AE5" w:rsidRPr="00B251A0" w:rsidRDefault="00761AE5" w:rsidP="00761AE5">
            <w:pPr>
              <w:rPr>
                <w:rFonts w:cs="Arial"/>
              </w:rPr>
            </w:pPr>
            <w:r w:rsidRPr="00B251A0">
              <w:rPr>
                <w:rFonts w:cs="Arial"/>
              </w:rPr>
              <w:t>H/SS: Residential space standards and accessible homes</w:t>
            </w:r>
          </w:p>
        </w:tc>
        <w:tc>
          <w:tcPr>
            <w:tcW w:w="5760" w:type="dxa"/>
          </w:tcPr>
          <w:p w14:paraId="7A032067" w14:textId="77777777" w:rsidR="00761AE5" w:rsidRPr="00B251A0" w:rsidRDefault="00761AE5" w:rsidP="00761AE5">
            <w:pPr>
              <w:rPr>
                <w:rFonts w:cs="Arial"/>
              </w:rPr>
            </w:pPr>
          </w:p>
        </w:tc>
      </w:tr>
      <w:tr w:rsidR="00761AE5" w:rsidRPr="00B251A0" w14:paraId="0F1F3EBA" w14:textId="64FEF65E" w:rsidTr="00761AE5">
        <w:tc>
          <w:tcPr>
            <w:tcW w:w="3256" w:type="dxa"/>
          </w:tcPr>
          <w:p w14:paraId="156CEF26" w14:textId="77777777" w:rsidR="00761AE5" w:rsidRPr="00B251A0" w:rsidRDefault="00761AE5" w:rsidP="00761AE5">
            <w:pPr>
              <w:rPr>
                <w:rFonts w:cs="Arial"/>
              </w:rPr>
            </w:pPr>
            <w:r w:rsidRPr="00B251A0">
              <w:rPr>
                <w:rFonts w:cs="Arial"/>
              </w:rPr>
              <w:t>H/SH: Specialist housing and homes for older people</w:t>
            </w:r>
          </w:p>
        </w:tc>
        <w:tc>
          <w:tcPr>
            <w:tcW w:w="5760" w:type="dxa"/>
          </w:tcPr>
          <w:p w14:paraId="243E642B" w14:textId="77777777" w:rsidR="00761AE5" w:rsidRPr="00B251A0" w:rsidRDefault="00761AE5" w:rsidP="00761AE5">
            <w:pPr>
              <w:rPr>
                <w:rFonts w:cs="Arial"/>
              </w:rPr>
            </w:pPr>
          </w:p>
        </w:tc>
      </w:tr>
      <w:tr w:rsidR="00761AE5" w:rsidRPr="00B251A0" w14:paraId="33447801" w14:textId="08958E4E" w:rsidTr="00761AE5">
        <w:tc>
          <w:tcPr>
            <w:tcW w:w="3256" w:type="dxa"/>
          </w:tcPr>
          <w:p w14:paraId="3CB628B5" w14:textId="77777777" w:rsidR="00761AE5" w:rsidRPr="00B251A0" w:rsidRDefault="00761AE5" w:rsidP="00761AE5">
            <w:pPr>
              <w:rPr>
                <w:rFonts w:cs="Arial"/>
              </w:rPr>
            </w:pPr>
            <w:r w:rsidRPr="00B251A0">
              <w:rPr>
                <w:rFonts w:cs="Arial"/>
              </w:rPr>
              <w:lastRenderedPageBreak/>
              <w:t>H/CB: Self- and custom-build homes</w:t>
            </w:r>
          </w:p>
        </w:tc>
        <w:tc>
          <w:tcPr>
            <w:tcW w:w="5760" w:type="dxa"/>
          </w:tcPr>
          <w:p w14:paraId="6C810127" w14:textId="77777777" w:rsidR="00761AE5" w:rsidRPr="00B251A0" w:rsidRDefault="00761AE5" w:rsidP="00761AE5">
            <w:pPr>
              <w:rPr>
                <w:rFonts w:cs="Arial"/>
              </w:rPr>
            </w:pPr>
          </w:p>
        </w:tc>
      </w:tr>
      <w:tr w:rsidR="00761AE5" w:rsidRPr="00B251A0" w14:paraId="2F7E9337" w14:textId="2C162590" w:rsidTr="00761AE5">
        <w:tc>
          <w:tcPr>
            <w:tcW w:w="3256" w:type="dxa"/>
          </w:tcPr>
          <w:p w14:paraId="64BC8671" w14:textId="77777777" w:rsidR="00761AE5" w:rsidRPr="00B251A0" w:rsidRDefault="00761AE5" w:rsidP="00761AE5">
            <w:pPr>
              <w:rPr>
                <w:rFonts w:cs="Arial"/>
              </w:rPr>
            </w:pPr>
            <w:r w:rsidRPr="00B251A0">
              <w:rPr>
                <w:rFonts w:cs="Arial"/>
              </w:rPr>
              <w:t>H/BR: Build to rent homes</w:t>
            </w:r>
          </w:p>
        </w:tc>
        <w:tc>
          <w:tcPr>
            <w:tcW w:w="5760" w:type="dxa"/>
          </w:tcPr>
          <w:p w14:paraId="68ABCA78" w14:textId="77777777" w:rsidR="00761AE5" w:rsidRPr="00B251A0" w:rsidRDefault="00761AE5" w:rsidP="00761AE5">
            <w:pPr>
              <w:rPr>
                <w:rFonts w:cs="Arial"/>
              </w:rPr>
            </w:pPr>
          </w:p>
        </w:tc>
      </w:tr>
      <w:tr w:rsidR="00761AE5" w:rsidRPr="00B251A0" w14:paraId="79FA948F" w14:textId="21835089" w:rsidTr="00761AE5">
        <w:tc>
          <w:tcPr>
            <w:tcW w:w="3256" w:type="dxa"/>
          </w:tcPr>
          <w:p w14:paraId="25E2699E" w14:textId="77777777" w:rsidR="00761AE5" w:rsidRPr="00B251A0" w:rsidRDefault="00761AE5" w:rsidP="00761AE5">
            <w:pPr>
              <w:rPr>
                <w:rFonts w:cs="Arial"/>
              </w:rPr>
            </w:pPr>
            <w:r w:rsidRPr="00B251A0">
              <w:rPr>
                <w:rFonts w:cs="Arial"/>
              </w:rPr>
              <w:t>H/MO: Houses in multiple occupation (HMOs)</w:t>
            </w:r>
          </w:p>
        </w:tc>
        <w:tc>
          <w:tcPr>
            <w:tcW w:w="5760" w:type="dxa"/>
          </w:tcPr>
          <w:p w14:paraId="45B563AC" w14:textId="77777777" w:rsidR="00761AE5" w:rsidRPr="00B251A0" w:rsidRDefault="00761AE5" w:rsidP="00761AE5">
            <w:pPr>
              <w:rPr>
                <w:rFonts w:cs="Arial"/>
              </w:rPr>
            </w:pPr>
          </w:p>
        </w:tc>
      </w:tr>
      <w:tr w:rsidR="00761AE5" w:rsidRPr="00B251A0" w14:paraId="40671C78" w14:textId="5ABD9766" w:rsidTr="00761AE5">
        <w:tc>
          <w:tcPr>
            <w:tcW w:w="3256" w:type="dxa"/>
          </w:tcPr>
          <w:p w14:paraId="1D221AB4" w14:textId="77777777" w:rsidR="00761AE5" w:rsidRPr="00B251A0" w:rsidRDefault="00761AE5" w:rsidP="00761AE5">
            <w:pPr>
              <w:rPr>
                <w:rFonts w:cs="Arial"/>
              </w:rPr>
            </w:pPr>
            <w:r w:rsidRPr="00B251A0">
              <w:rPr>
                <w:rFonts w:cs="Arial"/>
              </w:rPr>
              <w:t>H/SA: Student accommodation</w:t>
            </w:r>
          </w:p>
        </w:tc>
        <w:tc>
          <w:tcPr>
            <w:tcW w:w="5760" w:type="dxa"/>
          </w:tcPr>
          <w:p w14:paraId="3665FCB2" w14:textId="77777777" w:rsidR="00761AE5" w:rsidRPr="00B251A0" w:rsidRDefault="00761AE5" w:rsidP="00761AE5">
            <w:pPr>
              <w:rPr>
                <w:rFonts w:cs="Arial"/>
              </w:rPr>
            </w:pPr>
          </w:p>
        </w:tc>
      </w:tr>
      <w:tr w:rsidR="00761AE5" w:rsidRPr="00B251A0" w14:paraId="1D6A72AE" w14:textId="019C0DF0" w:rsidTr="00761AE5">
        <w:tc>
          <w:tcPr>
            <w:tcW w:w="3256" w:type="dxa"/>
          </w:tcPr>
          <w:p w14:paraId="4EBC0075" w14:textId="77777777" w:rsidR="00761AE5" w:rsidRPr="00B251A0" w:rsidRDefault="00761AE5" w:rsidP="00761AE5">
            <w:pPr>
              <w:rPr>
                <w:rFonts w:cs="Arial"/>
              </w:rPr>
            </w:pPr>
            <w:r w:rsidRPr="00B251A0">
              <w:rPr>
                <w:rFonts w:cs="Arial"/>
              </w:rPr>
              <w:t>H/DC: Dwellings in the countryside</w:t>
            </w:r>
          </w:p>
        </w:tc>
        <w:tc>
          <w:tcPr>
            <w:tcW w:w="5760" w:type="dxa"/>
          </w:tcPr>
          <w:p w14:paraId="5ACF586C" w14:textId="77777777" w:rsidR="00761AE5" w:rsidRPr="00B251A0" w:rsidRDefault="00761AE5" w:rsidP="00761AE5">
            <w:pPr>
              <w:rPr>
                <w:rFonts w:cs="Arial"/>
              </w:rPr>
            </w:pPr>
          </w:p>
        </w:tc>
      </w:tr>
      <w:tr w:rsidR="00761AE5" w:rsidRPr="00B251A0" w14:paraId="7894E821" w14:textId="5F8015D4" w:rsidTr="00761AE5">
        <w:tc>
          <w:tcPr>
            <w:tcW w:w="3256" w:type="dxa"/>
          </w:tcPr>
          <w:p w14:paraId="17BE3F73" w14:textId="77777777" w:rsidR="00761AE5" w:rsidRPr="00B251A0" w:rsidRDefault="00761AE5" w:rsidP="00761AE5">
            <w:pPr>
              <w:rPr>
                <w:rFonts w:cs="Arial"/>
              </w:rPr>
            </w:pPr>
            <w:r w:rsidRPr="00B251A0">
              <w:rPr>
                <w:rFonts w:cs="Arial"/>
              </w:rPr>
              <w:t>H/RM: Residential moorings</w:t>
            </w:r>
          </w:p>
        </w:tc>
        <w:tc>
          <w:tcPr>
            <w:tcW w:w="5760" w:type="dxa"/>
          </w:tcPr>
          <w:p w14:paraId="4FD24F37" w14:textId="77777777" w:rsidR="00761AE5" w:rsidRPr="00B251A0" w:rsidRDefault="00761AE5" w:rsidP="00761AE5">
            <w:pPr>
              <w:rPr>
                <w:rFonts w:cs="Arial"/>
              </w:rPr>
            </w:pPr>
          </w:p>
        </w:tc>
      </w:tr>
      <w:tr w:rsidR="00761AE5" w:rsidRPr="00B251A0" w14:paraId="4DB76722" w14:textId="5235CBB8" w:rsidTr="00761AE5">
        <w:tc>
          <w:tcPr>
            <w:tcW w:w="3256" w:type="dxa"/>
          </w:tcPr>
          <w:p w14:paraId="039A3387" w14:textId="77777777" w:rsidR="00761AE5" w:rsidRPr="00B251A0" w:rsidRDefault="00761AE5" w:rsidP="00761AE5">
            <w:pPr>
              <w:rPr>
                <w:rFonts w:cs="Arial"/>
              </w:rPr>
            </w:pPr>
            <w:r w:rsidRPr="00B251A0">
              <w:rPr>
                <w:rFonts w:cs="Arial"/>
              </w:rPr>
              <w:t>H/RC: Residential caravans</w:t>
            </w:r>
          </w:p>
        </w:tc>
        <w:tc>
          <w:tcPr>
            <w:tcW w:w="5760" w:type="dxa"/>
          </w:tcPr>
          <w:p w14:paraId="74D52A68" w14:textId="77777777" w:rsidR="00761AE5" w:rsidRPr="00B251A0" w:rsidRDefault="00761AE5" w:rsidP="00761AE5">
            <w:pPr>
              <w:rPr>
                <w:rFonts w:cs="Arial"/>
              </w:rPr>
            </w:pPr>
          </w:p>
        </w:tc>
      </w:tr>
      <w:tr w:rsidR="00761AE5" w:rsidRPr="00B251A0" w14:paraId="5F0E984A" w14:textId="30C8CC72" w:rsidTr="00761AE5">
        <w:tc>
          <w:tcPr>
            <w:tcW w:w="3256" w:type="dxa"/>
          </w:tcPr>
          <w:p w14:paraId="0FFC59D2" w14:textId="77777777" w:rsidR="00761AE5" w:rsidRPr="00B251A0" w:rsidRDefault="00761AE5" w:rsidP="00761AE5">
            <w:pPr>
              <w:rPr>
                <w:rFonts w:cs="Arial"/>
              </w:rPr>
            </w:pPr>
            <w:r w:rsidRPr="00B251A0">
              <w:rPr>
                <w:rFonts w:cs="Arial"/>
              </w:rPr>
              <w:t>H/GT: Gypsy and Traveller and Travelling Show People sites</w:t>
            </w:r>
          </w:p>
        </w:tc>
        <w:tc>
          <w:tcPr>
            <w:tcW w:w="5760" w:type="dxa"/>
          </w:tcPr>
          <w:p w14:paraId="22580436" w14:textId="77777777" w:rsidR="00761AE5" w:rsidRPr="00B251A0" w:rsidRDefault="00761AE5" w:rsidP="00761AE5">
            <w:pPr>
              <w:rPr>
                <w:rFonts w:cs="Arial"/>
              </w:rPr>
            </w:pPr>
          </w:p>
        </w:tc>
      </w:tr>
      <w:tr w:rsidR="00761AE5" w:rsidRPr="00B251A0" w14:paraId="55E23C6F" w14:textId="25A65A72" w:rsidTr="00761AE5">
        <w:tc>
          <w:tcPr>
            <w:tcW w:w="3256" w:type="dxa"/>
          </w:tcPr>
          <w:p w14:paraId="4DF54844" w14:textId="77777777" w:rsidR="00761AE5" w:rsidRPr="00B251A0" w:rsidRDefault="00761AE5" w:rsidP="00761AE5">
            <w:pPr>
              <w:rPr>
                <w:rFonts w:cs="Arial"/>
              </w:rPr>
            </w:pPr>
            <w:r w:rsidRPr="00B251A0">
              <w:rPr>
                <w:rFonts w:cs="Arial"/>
              </w:rPr>
              <w:t>H/CH: Community led housing</w:t>
            </w:r>
          </w:p>
        </w:tc>
        <w:tc>
          <w:tcPr>
            <w:tcW w:w="5760" w:type="dxa"/>
          </w:tcPr>
          <w:p w14:paraId="79E87E2F" w14:textId="77777777" w:rsidR="00761AE5" w:rsidRPr="00B251A0" w:rsidRDefault="00761AE5" w:rsidP="00761AE5">
            <w:pPr>
              <w:rPr>
                <w:rFonts w:cs="Arial"/>
              </w:rPr>
            </w:pPr>
          </w:p>
        </w:tc>
      </w:tr>
    </w:tbl>
    <w:p w14:paraId="2E6ABD46" w14:textId="4FEBEB70" w:rsidR="00761AE5" w:rsidRPr="00B251A0" w:rsidRDefault="00761AE5"/>
    <w:p w14:paraId="28B40CB1" w14:textId="6B6400B3" w:rsidR="00761AE5" w:rsidRPr="00B251A0" w:rsidRDefault="00761AE5" w:rsidP="00761AE5">
      <w:pPr>
        <w:pStyle w:val="Heading2"/>
      </w:pPr>
      <w:r w:rsidRPr="00B251A0">
        <w:t>Infrastructure policies</w:t>
      </w:r>
    </w:p>
    <w:tbl>
      <w:tblPr>
        <w:tblStyle w:val="TableGrid"/>
        <w:tblW w:w="0" w:type="auto"/>
        <w:tblLook w:val="04A0" w:firstRow="1" w:lastRow="0" w:firstColumn="1" w:lastColumn="0" w:noHBand="0" w:noVBand="1"/>
      </w:tblPr>
      <w:tblGrid>
        <w:gridCol w:w="3256"/>
        <w:gridCol w:w="5760"/>
      </w:tblGrid>
      <w:tr w:rsidR="00761AE5" w:rsidRPr="00B251A0" w14:paraId="6EF3C8DC" w14:textId="77777777" w:rsidTr="00D238FC">
        <w:tc>
          <w:tcPr>
            <w:tcW w:w="3256" w:type="dxa"/>
          </w:tcPr>
          <w:p w14:paraId="767BBEC5" w14:textId="77777777" w:rsidR="00761AE5" w:rsidRPr="00B251A0" w:rsidRDefault="00761AE5" w:rsidP="00D238FC">
            <w:pPr>
              <w:rPr>
                <w:rFonts w:cs="Arial"/>
                <w:b/>
                <w:bCs/>
              </w:rPr>
            </w:pPr>
            <w:r w:rsidRPr="00B251A0">
              <w:rPr>
                <w:b/>
                <w:bCs/>
              </w:rPr>
              <w:t>Policy</w:t>
            </w:r>
          </w:p>
        </w:tc>
        <w:tc>
          <w:tcPr>
            <w:tcW w:w="5760" w:type="dxa"/>
          </w:tcPr>
          <w:p w14:paraId="04529391" w14:textId="77777777" w:rsidR="00761AE5" w:rsidRPr="00B251A0" w:rsidRDefault="00761AE5" w:rsidP="00D238FC">
            <w:pPr>
              <w:rPr>
                <w:rFonts w:cs="Arial"/>
                <w:b/>
                <w:bCs/>
              </w:rPr>
            </w:pPr>
            <w:r w:rsidRPr="00B251A0">
              <w:rPr>
                <w:b/>
                <w:bCs/>
              </w:rPr>
              <w:t>Your comments</w:t>
            </w:r>
          </w:p>
        </w:tc>
      </w:tr>
      <w:tr w:rsidR="006334E3" w:rsidRPr="00B251A0" w14:paraId="2D088778" w14:textId="77777777" w:rsidTr="00D238FC">
        <w:tc>
          <w:tcPr>
            <w:tcW w:w="3256" w:type="dxa"/>
          </w:tcPr>
          <w:p w14:paraId="5CF72C17" w14:textId="40653193" w:rsidR="006334E3" w:rsidRPr="00B251A0" w:rsidRDefault="006334E3" w:rsidP="00D238FC">
            <w:r w:rsidRPr="00B251A0">
              <w:t>Infrastructure – general comments</w:t>
            </w:r>
          </w:p>
        </w:tc>
        <w:tc>
          <w:tcPr>
            <w:tcW w:w="5760" w:type="dxa"/>
          </w:tcPr>
          <w:p w14:paraId="11636439" w14:textId="77777777" w:rsidR="006334E3" w:rsidRPr="00B251A0" w:rsidRDefault="006334E3" w:rsidP="00D238FC"/>
        </w:tc>
      </w:tr>
      <w:tr w:rsidR="00761AE5" w:rsidRPr="00B251A0" w14:paraId="4A248BE3" w14:textId="62C94AB7" w:rsidTr="00761AE5">
        <w:tc>
          <w:tcPr>
            <w:tcW w:w="3256" w:type="dxa"/>
          </w:tcPr>
          <w:p w14:paraId="1AFF2B15" w14:textId="77777777" w:rsidR="00761AE5" w:rsidRPr="00B251A0" w:rsidRDefault="00761AE5" w:rsidP="00761AE5">
            <w:pPr>
              <w:rPr>
                <w:rFonts w:cs="Arial"/>
              </w:rPr>
            </w:pPr>
            <w:r w:rsidRPr="00B251A0">
              <w:rPr>
                <w:rFonts w:cs="Arial"/>
              </w:rPr>
              <w:t>I/ST: Sustainable transport and connectivity</w:t>
            </w:r>
          </w:p>
        </w:tc>
        <w:tc>
          <w:tcPr>
            <w:tcW w:w="5760" w:type="dxa"/>
          </w:tcPr>
          <w:p w14:paraId="5F4436DB" w14:textId="77777777" w:rsidR="00761AE5" w:rsidRPr="00B251A0" w:rsidRDefault="00761AE5" w:rsidP="00761AE5">
            <w:pPr>
              <w:rPr>
                <w:rFonts w:cs="Arial"/>
              </w:rPr>
            </w:pPr>
          </w:p>
        </w:tc>
      </w:tr>
      <w:tr w:rsidR="00761AE5" w:rsidRPr="00B251A0" w14:paraId="54E4FC35" w14:textId="56F94A5F" w:rsidTr="00761AE5">
        <w:tc>
          <w:tcPr>
            <w:tcW w:w="3256" w:type="dxa"/>
          </w:tcPr>
          <w:p w14:paraId="77175356" w14:textId="77777777" w:rsidR="00761AE5" w:rsidRPr="00B251A0" w:rsidRDefault="00761AE5" w:rsidP="00761AE5">
            <w:pPr>
              <w:rPr>
                <w:rFonts w:cs="Arial"/>
              </w:rPr>
            </w:pPr>
            <w:r w:rsidRPr="00B251A0">
              <w:rPr>
                <w:rFonts w:cs="Arial"/>
              </w:rPr>
              <w:t>I/EV: Parking and electric vehicles</w:t>
            </w:r>
          </w:p>
        </w:tc>
        <w:tc>
          <w:tcPr>
            <w:tcW w:w="5760" w:type="dxa"/>
          </w:tcPr>
          <w:p w14:paraId="34A6FE0C" w14:textId="77777777" w:rsidR="00761AE5" w:rsidRPr="00B251A0" w:rsidRDefault="00761AE5" w:rsidP="00761AE5">
            <w:pPr>
              <w:rPr>
                <w:rFonts w:cs="Arial"/>
              </w:rPr>
            </w:pPr>
          </w:p>
        </w:tc>
      </w:tr>
      <w:tr w:rsidR="00761AE5" w:rsidRPr="00B251A0" w14:paraId="432E3307" w14:textId="056CDC8B" w:rsidTr="00761AE5">
        <w:tc>
          <w:tcPr>
            <w:tcW w:w="3256" w:type="dxa"/>
          </w:tcPr>
          <w:p w14:paraId="6FAC61BB" w14:textId="77777777" w:rsidR="00761AE5" w:rsidRPr="00B251A0" w:rsidRDefault="00761AE5" w:rsidP="00761AE5">
            <w:pPr>
              <w:rPr>
                <w:rFonts w:cs="Arial"/>
              </w:rPr>
            </w:pPr>
            <w:r w:rsidRPr="00B251A0">
              <w:rPr>
                <w:rFonts w:cs="Arial"/>
              </w:rPr>
              <w:t>I/FD: Freight and delivery consolidation</w:t>
            </w:r>
          </w:p>
        </w:tc>
        <w:tc>
          <w:tcPr>
            <w:tcW w:w="5760" w:type="dxa"/>
          </w:tcPr>
          <w:p w14:paraId="3C556D3B" w14:textId="77777777" w:rsidR="00761AE5" w:rsidRPr="00B251A0" w:rsidRDefault="00761AE5" w:rsidP="00761AE5">
            <w:pPr>
              <w:rPr>
                <w:rFonts w:cs="Arial"/>
              </w:rPr>
            </w:pPr>
          </w:p>
        </w:tc>
      </w:tr>
      <w:tr w:rsidR="00761AE5" w:rsidRPr="00B251A0" w14:paraId="65B22BDC" w14:textId="344C34C5" w:rsidTr="00761AE5">
        <w:tc>
          <w:tcPr>
            <w:tcW w:w="3256" w:type="dxa"/>
          </w:tcPr>
          <w:p w14:paraId="5E686331" w14:textId="77777777" w:rsidR="00761AE5" w:rsidRPr="00B251A0" w:rsidRDefault="00761AE5" w:rsidP="00761AE5">
            <w:pPr>
              <w:rPr>
                <w:rFonts w:cs="Arial"/>
              </w:rPr>
            </w:pPr>
            <w:r w:rsidRPr="00B251A0">
              <w:rPr>
                <w:rFonts w:cs="Arial"/>
              </w:rPr>
              <w:t>I/SI: Safeguarding important infrastructure</w:t>
            </w:r>
          </w:p>
        </w:tc>
        <w:tc>
          <w:tcPr>
            <w:tcW w:w="5760" w:type="dxa"/>
          </w:tcPr>
          <w:p w14:paraId="6A913637" w14:textId="77777777" w:rsidR="00761AE5" w:rsidRPr="00B251A0" w:rsidRDefault="00761AE5" w:rsidP="00761AE5">
            <w:pPr>
              <w:rPr>
                <w:rFonts w:cs="Arial"/>
              </w:rPr>
            </w:pPr>
          </w:p>
        </w:tc>
      </w:tr>
      <w:tr w:rsidR="00761AE5" w:rsidRPr="00B251A0" w14:paraId="42E752F0" w14:textId="5FD9D536" w:rsidTr="00761AE5">
        <w:tc>
          <w:tcPr>
            <w:tcW w:w="3256" w:type="dxa"/>
          </w:tcPr>
          <w:p w14:paraId="7F4987AF" w14:textId="77777777" w:rsidR="00761AE5" w:rsidRPr="00B251A0" w:rsidRDefault="00761AE5" w:rsidP="00761AE5">
            <w:pPr>
              <w:rPr>
                <w:rFonts w:cs="Arial"/>
              </w:rPr>
            </w:pPr>
            <w:r w:rsidRPr="00B251A0">
              <w:rPr>
                <w:rFonts w:cs="Arial"/>
              </w:rPr>
              <w:t>I/AD: Aviation development</w:t>
            </w:r>
          </w:p>
        </w:tc>
        <w:tc>
          <w:tcPr>
            <w:tcW w:w="5760" w:type="dxa"/>
          </w:tcPr>
          <w:p w14:paraId="42D574C6" w14:textId="77777777" w:rsidR="00761AE5" w:rsidRPr="00B251A0" w:rsidRDefault="00761AE5" w:rsidP="00761AE5">
            <w:pPr>
              <w:rPr>
                <w:rFonts w:cs="Arial"/>
              </w:rPr>
            </w:pPr>
          </w:p>
        </w:tc>
      </w:tr>
      <w:tr w:rsidR="00761AE5" w:rsidRPr="00B251A0" w14:paraId="38A5A575" w14:textId="11EDA8F3" w:rsidTr="00761AE5">
        <w:tc>
          <w:tcPr>
            <w:tcW w:w="3256" w:type="dxa"/>
          </w:tcPr>
          <w:p w14:paraId="3F659F86" w14:textId="77777777" w:rsidR="00761AE5" w:rsidRPr="00B251A0" w:rsidRDefault="00761AE5" w:rsidP="00761AE5">
            <w:pPr>
              <w:rPr>
                <w:rFonts w:cs="Arial"/>
              </w:rPr>
            </w:pPr>
            <w:r w:rsidRPr="00B251A0">
              <w:rPr>
                <w:rFonts w:cs="Arial"/>
              </w:rPr>
              <w:lastRenderedPageBreak/>
              <w:t>I/EI: Energy infrastructure masterplanning</w:t>
            </w:r>
          </w:p>
        </w:tc>
        <w:tc>
          <w:tcPr>
            <w:tcW w:w="5760" w:type="dxa"/>
          </w:tcPr>
          <w:p w14:paraId="65771DA9" w14:textId="77777777" w:rsidR="00761AE5" w:rsidRPr="00B251A0" w:rsidRDefault="00761AE5" w:rsidP="00761AE5">
            <w:pPr>
              <w:rPr>
                <w:rFonts w:cs="Arial"/>
              </w:rPr>
            </w:pPr>
          </w:p>
        </w:tc>
      </w:tr>
      <w:tr w:rsidR="00761AE5" w:rsidRPr="00B251A0" w14:paraId="54EE86E7" w14:textId="25B9BCC1" w:rsidTr="00761AE5">
        <w:tc>
          <w:tcPr>
            <w:tcW w:w="3256" w:type="dxa"/>
          </w:tcPr>
          <w:p w14:paraId="45C941CF" w14:textId="77777777" w:rsidR="00761AE5" w:rsidRPr="00B251A0" w:rsidRDefault="00761AE5" w:rsidP="00761AE5">
            <w:pPr>
              <w:rPr>
                <w:rFonts w:cs="Arial"/>
              </w:rPr>
            </w:pPr>
            <w:r w:rsidRPr="00B251A0">
              <w:rPr>
                <w:rFonts w:cs="Arial"/>
              </w:rPr>
              <w:t>I/ID: Infrastructure and delivery</w:t>
            </w:r>
          </w:p>
        </w:tc>
        <w:tc>
          <w:tcPr>
            <w:tcW w:w="5760" w:type="dxa"/>
          </w:tcPr>
          <w:p w14:paraId="618B0237" w14:textId="77777777" w:rsidR="00761AE5" w:rsidRPr="00B251A0" w:rsidRDefault="00761AE5" w:rsidP="00761AE5">
            <w:pPr>
              <w:rPr>
                <w:rFonts w:cs="Arial"/>
              </w:rPr>
            </w:pPr>
          </w:p>
        </w:tc>
      </w:tr>
      <w:tr w:rsidR="00761AE5" w:rsidRPr="00B251A0" w14:paraId="49FF4CDF" w14:textId="2CE0EA79" w:rsidTr="00761AE5">
        <w:tc>
          <w:tcPr>
            <w:tcW w:w="3256" w:type="dxa"/>
          </w:tcPr>
          <w:p w14:paraId="5DBA2A8D" w14:textId="77777777" w:rsidR="00761AE5" w:rsidRPr="00B251A0" w:rsidRDefault="00761AE5" w:rsidP="00761AE5">
            <w:pPr>
              <w:rPr>
                <w:rFonts w:cs="Arial"/>
              </w:rPr>
            </w:pPr>
            <w:r w:rsidRPr="00B251A0">
              <w:rPr>
                <w:rFonts w:cs="Arial"/>
              </w:rPr>
              <w:t>I/DI: Digital infrastructure</w:t>
            </w:r>
          </w:p>
        </w:tc>
        <w:tc>
          <w:tcPr>
            <w:tcW w:w="5760" w:type="dxa"/>
          </w:tcPr>
          <w:p w14:paraId="4B8FEC6A" w14:textId="77777777" w:rsidR="00761AE5" w:rsidRPr="00B251A0" w:rsidRDefault="00761AE5" w:rsidP="00761AE5">
            <w:pPr>
              <w:rPr>
                <w:rFonts w:cs="Arial"/>
              </w:rPr>
            </w:pPr>
          </w:p>
        </w:tc>
      </w:tr>
    </w:tbl>
    <w:p w14:paraId="01E68C2D" w14:textId="6458FDF0" w:rsidR="00A77B38" w:rsidRPr="00B251A0" w:rsidRDefault="00A77B38" w:rsidP="00761AE5"/>
    <w:p w14:paraId="4512BCF3" w14:textId="463F85FC" w:rsidR="00F81F71" w:rsidRPr="00B251A0" w:rsidRDefault="00F81F71" w:rsidP="00F81F71">
      <w:pPr>
        <w:pStyle w:val="Heading2"/>
      </w:pPr>
      <w:r w:rsidRPr="00B251A0">
        <w:t>Supporting documents on which we are consulting</w:t>
      </w:r>
    </w:p>
    <w:tbl>
      <w:tblPr>
        <w:tblStyle w:val="TableGrid"/>
        <w:tblW w:w="0" w:type="auto"/>
        <w:tblLook w:val="04A0" w:firstRow="1" w:lastRow="0" w:firstColumn="1" w:lastColumn="0" w:noHBand="0" w:noVBand="1"/>
      </w:tblPr>
      <w:tblGrid>
        <w:gridCol w:w="3256"/>
        <w:gridCol w:w="5760"/>
      </w:tblGrid>
      <w:tr w:rsidR="00F81F71" w:rsidRPr="00B251A0" w14:paraId="5730BB92" w14:textId="77777777" w:rsidTr="00D238FC">
        <w:tc>
          <w:tcPr>
            <w:tcW w:w="3256" w:type="dxa"/>
          </w:tcPr>
          <w:p w14:paraId="49A34934" w14:textId="77777777" w:rsidR="00F81F71" w:rsidRPr="00B251A0" w:rsidRDefault="00F81F71" w:rsidP="00D238FC">
            <w:pPr>
              <w:rPr>
                <w:rFonts w:cs="Arial"/>
                <w:b/>
                <w:bCs/>
              </w:rPr>
            </w:pPr>
            <w:r w:rsidRPr="00B251A0">
              <w:rPr>
                <w:b/>
                <w:bCs/>
              </w:rPr>
              <w:t>Policy</w:t>
            </w:r>
          </w:p>
        </w:tc>
        <w:tc>
          <w:tcPr>
            <w:tcW w:w="5760" w:type="dxa"/>
          </w:tcPr>
          <w:p w14:paraId="183C2A55" w14:textId="77777777" w:rsidR="00F81F71" w:rsidRPr="00B251A0" w:rsidRDefault="00F81F71" w:rsidP="00D238FC">
            <w:pPr>
              <w:rPr>
                <w:rFonts w:cs="Arial"/>
                <w:b/>
                <w:bCs/>
              </w:rPr>
            </w:pPr>
            <w:r w:rsidRPr="00B251A0">
              <w:rPr>
                <w:b/>
                <w:bCs/>
              </w:rPr>
              <w:t>Your comments</w:t>
            </w:r>
          </w:p>
        </w:tc>
      </w:tr>
      <w:tr w:rsidR="00F81F71" w:rsidRPr="00B251A0" w14:paraId="3901BD23" w14:textId="77777777" w:rsidTr="00D238FC">
        <w:tc>
          <w:tcPr>
            <w:tcW w:w="3256" w:type="dxa"/>
          </w:tcPr>
          <w:p w14:paraId="1C0B80F0" w14:textId="4C05B925" w:rsidR="00F81F71" w:rsidRPr="00B251A0" w:rsidRDefault="00F81F71" w:rsidP="00D238FC">
            <w:r w:rsidRPr="00B251A0">
              <w:t>Sustainability Appraisal</w:t>
            </w:r>
            <w:r w:rsidR="00567720" w:rsidRPr="00B251A0">
              <w:t xml:space="preserve"> (incorporating the requirements of the Strategic Environmental Assessment)</w:t>
            </w:r>
          </w:p>
        </w:tc>
        <w:tc>
          <w:tcPr>
            <w:tcW w:w="5760" w:type="dxa"/>
          </w:tcPr>
          <w:p w14:paraId="005E341C" w14:textId="77777777" w:rsidR="00F81F71" w:rsidRPr="00B251A0" w:rsidRDefault="00F81F71" w:rsidP="00D238FC"/>
        </w:tc>
      </w:tr>
      <w:tr w:rsidR="00227322" w:rsidRPr="00B251A0" w14:paraId="204CD218" w14:textId="77777777" w:rsidTr="00D238FC">
        <w:tc>
          <w:tcPr>
            <w:tcW w:w="3256" w:type="dxa"/>
          </w:tcPr>
          <w:p w14:paraId="521FD232" w14:textId="3587D84F" w:rsidR="00227322" w:rsidRPr="00B251A0" w:rsidRDefault="00227322" w:rsidP="00D238FC">
            <w:r w:rsidRPr="00B251A0">
              <w:t xml:space="preserve">Habitats </w:t>
            </w:r>
            <w:r w:rsidR="007B2E55" w:rsidRPr="00B251A0">
              <w:t>Regulations</w:t>
            </w:r>
            <w:r w:rsidRPr="00B251A0">
              <w:t xml:space="preserve"> Assessment</w:t>
            </w:r>
          </w:p>
        </w:tc>
        <w:tc>
          <w:tcPr>
            <w:tcW w:w="5760" w:type="dxa"/>
          </w:tcPr>
          <w:p w14:paraId="29CFB483" w14:textId="77777777" w:rsidR="00227322" w:rsidRPr="00B251A0" w:rsidRDefault="00227322" w:rsidP="00D238FC"/>
        </w:tc>
      </w:tr>
    </w:tbl>
    <w:p w14:paraId="0E03FA3A" w14:textId="355BA6F4" w:rsidR="00F81F71" w:rsidRPr="00B251A0" w:rsidRDefault="00F81F71" w:rsidP="00F81F71"/>
    <w:p w14:paraId="1820BF73" w14:textId="07679F33" w:rsidR="00F81F71" w:rsidRPr="00B251A0" w:rsidRDefault="00F81F71" w:rsidP="00F81F71">
      <w:r w:rsidRPr="00B251A0">
        <w:t xml:space="preserve">If you wish to comment on other evidence base documents, please assign your comments to the policy which the evidence document supports. For example, if you wish to comment on rejected sites within the Housing and Employment Land Availability Assessment, please comment against the </w:t>
      </w:r>
      <w:r w:rsidR="006334E3" w:rsidRPr="00B251A0">
        <w:t xml:space="preserve">allocations </w:t>
      </w:r>
      <w:r w:rsidRPr="00B251A0">
        <w:t>policy for the area in which the site is located (for example Cambridge urban area or rural southern cluster). If you wish to comment on the Green Belt study, please comment against the Green Belt policy.</w:t>
      </w:r>
    </w:p>
    <w:p w14:paraId="2D5326EB" w14:textId="6A08D278" w:rsidR="00D65520" w:rsidRDefault="00D65520" w:rsidP="00F81F71"/>
    <w:sectPr w:rsidR="00D65520" w:rsidSect="00CD2CAD">
      <w:headerReference w:type="default" r:id="rId13"/>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94E82" w14:textId="77777777" w:rsidR="001A73B4" w:rsidRDefault="001A73B4" w:rsidP="005632D1">
      <w:pPr>
        <w:spacing w:line="240" w:lineRule="auto"/>
      </w:pPr>
      <w:r>
        <w:separator/>
      </w:r>
    </w:p>
  </w:endnote>
  <w:endnote w:type="continuationSeparator" w:id="0">
    <w:p w14:paraId="457EC57F" w14:textId="77777777" w:rsidR="001A73B4" w:rsidRDefault="001A73B4" w:rsidP="005632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8EE55" w14:textId="77777777" w:rsidR="001A73B4" w:rsidRDefault="001A73B4" w:rsidP="005632D1">
      <w:pPr>
        <w:spacing w:line="240" w:lineRule="auto"/>
      </w:pPr>
      <w:r>
        <w:separator/>
      </w:r>
    </w:p>
  </w:footnote>
  <w:footnote w:type="continuationSeparator" w:id="0">
    <w:p w14:paraId="30FC05D6" w14:textId="77777777" w:rsidR="001A73B4" w:rsidRDefault="001A73B4" w:rsidP="005632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27E77" w14:textId="6D8D9728" w:rsidR="005632D1" w:rsidRDefault="005632D1">
    <w:pPr>
      <w:pStyle w:val="Header"/>
    </w:pPr>
    <w:r>
      <w:rPr>
        <w:noProof/>
        <w:lang w:eastAsia="en-GB"/>
      </w:rPr>
      <w:drawing>
        <wp:anchor distT="0" distB="0" distL="114300" distR="114300" simplePos="0" relativeHeight="251658240" behindDoc="0" locked="0" layoutInCell="1" allowOverlap="1" wp14:anchorId="6BECCEA4" wp14:editId="748007E1">
          <wp:simplePos x="0" y="0"/>
          <wp:positionH relativeFrom="column">
            <wp:posOffset>4695825</wp:posOffset>
          </wp:positionH>
          <wp:positionV relativeFrom="paragraph">
            <wp:posOffset>-240030</wp:posOffset>
          </wp:positionV>
          <wp:extent cx="1067321" cy="737320"/>
          <wp:effectExtent l="0" t="0" r="0" b="5715"/>
          <wp:wrapNone/>
          <wp:docPr id="13" name="Picture 13" descr="Greater Cambridge shared planning logo - black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ater Cambridge shared planning logo - black ver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7321" cy="7373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66E09C"/>
    <w:multiLevelType w:val="hybridMultilevel"/>
    <w:tmpl w:val="A1E73D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33C73"/>
    <w:multiLevelType w:val="hybridMultilevel"/>
    <w:tmpl w:val="B15495B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709E9"/>
    <w:multiLevelType w:val="hybridMultilevel"/>
    <w:tmpl w:val="C026016A"/>
    <w:lvl w:ilvl="0" w:tplc="08090001">
      <w:start w:val="1"/>
      <w:numFmt w:val="bullet"/>
      <w:lvlText w:val=""/>
      <w:lvlJc w:val="left"/>
      <w:pPr>
        <w:ind w:left="360" w:hanging="360"/>
      </w:pPr>
      <w:rPr>
        <w:rFonts w:ascii="Symbol" w:hAnsi="Symbol" w:hint="default"/>
      </w:rPr>
    </w:lvl>
    <w:lvl w:ilvl="1" w:tplc="D7521BBE">
      <w:start w:val="1"/>
      <w:numFmt w:val="bullet"/>
      <w:lvlText w:val="&gt;"/>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2331B"/>
    <w:multiLevelType w:val="hybridMultilevel"/>
    <w:tmpl w:val="99968E56"/>
    <w:lvl w:ilvl="0" w:tplc="D7521BBE">
      <w:start w:val="1"/>
      <w:numFmt w:val="bullet"/>
      <w:lvlText w:val="&gt;"/>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B461FF"/>
    <w:multiLevelType w:val="hybridMultilevel"/>
    <w:tmpl w:val="6542E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640990"/>
    <w:multiLevelType w:val="hybridMultilevel"/>
    <w:tmpl w:val="2AA8C78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2F46F7D"/>
    <w:multiLevelType w:val="hybridMultilevel"/>
    <w:tmpl w:val="847399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31538CA"/>
    <w:multiLevelType w:val="hybridMultilevel"/>
    <w:tmpl w:val="CB643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FB1195"/>
    <w:multiLevelType w:val="hybridMultilevel"/>
    <w:tmpl w:val="2AA8C78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5BF691F"/>
    <w:multiLevelType w:val="hybridMultilevel"/>
    <w:tmpl w:val="2A3CA020"/>
    <w:lvl w:ilvl="0" w:tplc="08090001">
      <w:start w:val="1"/>
      <w:numFmt w:val="bullet"/>
      <w:lvlText w:val=""/>
      <w:lvlJc w:val="left"/>
      <w:pPr>
        <w:ind w:left="360" w:hanging="360"/>
      </w:pPr>
      <w:rPr>
        <w:rFonts w:ascii="Symbol" w:hAnsi="Symbol" w:hint="default"/>
      </w:rPr>
    </w:lvl>
    <w:lvl w:ilvl="1" w:tplc="D7521BBE">
      <w:start w:val="1"/>
      <w:numFmt w:val="bullet"/>
      <w:lvlText w:val="&gt;"/>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EE97F"/>
    <w:multiLevelType w:val="hybridMultilevel"/>
    <w:tmpl w:val="FBF417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75A1422"/>
    <w:multiLevelType w:val="hybridMultilevel"/>
    <w:tmpl w:val="FE6AB91A"/>
    <w:lvl w:ilvl="0" w:tplc="D7521BBE">
      <w:start w:val="1"/>
      <w:numFmt w:val="bullet"/>
      <w:lvlText w:val="&gt;"/>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9A1F7E"/>
    <w:multiLevelType w:val="hybridMultilevel"/>
    <w:tmpl w:val="C11A97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8340298"/>
    <w:multiLevelType w:val="hybridMultilevel"/>
    <w:tmpl w:val="B656A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083D8F"/>
    <w:multiLevelType w:val="hybridMultilevel"/>
    <w:tmpl w:val="B2F4D5CC"/>
    <w:lvl w:ilvl="0" w:tplc="08090001">
      <w:start w:val="1"/>
      <w:numFmt w:val="bullet"/>
      <w:lvlText w:val=""/>
      <w:lvlJc w:val="left"/>
      <w:pPr>
        <w:ind w:left="360" w:hanging="360"/>
      </w:pPr>
      <w:rPr>
        <w:rFonts w:ascii="Symbol" w:hAnsi="Symbol" w:hint="default"/>
      </w:rPr>
    </w:lvl>
    <w:lvl w:ilvl="1" w:tplc="D7521BBE">
      <w:start w:val="1"/>
      <w:numFmt w:val="bullet"/>
      <w:lvlText w:val="&gt;"/>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161430"/>
    <w:multiLevelType w:val="multilevel"/>
    <w:tmpl w:val="41E4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8C2196"/>
    <w:multiLevelType w:val="multilevel"/>
    <w:tmpl w:val="4DBA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121401"/>
    <w:multiLevelType w:val="multilevel"/>
    <w:tmpl w:val="4B2E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0871A3"/>
    <w:multiLevelType w:val="multilevel"/>
    <w:tmpl w:val="98EE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E01835"/>
    <w:multiLevelType w:val="hybridMultilevel"/>
    <w:tmpl w:val="979819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C43A44"/>
    <w:multiLevelType w:val="hybridMultilevel"/>
    <w:tmpl w:val="C12C63C6"/>
    <w:lvl w:ilvl="0" w:tplc="08090001">
      <w:start w:val="1"/>
      <w:numFmt w:val="bullet"/>
      <w:lvlText w:val=""/>
      <w:lvlJc w:val="left"/>
      <w:pPr>
        <w:ind w:left="360" w:hanging="360"/>
      </w:pPr>
      <w:rPr>
        <w:rFonts w:ascii="Symbol" w:hAnsi="Symbol" w:hint="default"/>
      </w:rPr>
    </w:lvl>
    <w:lvl w:ilvl="1" w:tplc="D7521BBE">
      <w:start w:val="1"/>
      <w:numFmt w:val="bullet"/>
      <w:lvlText w:val="&gt;"/>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C833EC"/>
    <w:multiLevelType w:val="hybridMultilevel"/>
    <w:tmpl w:val="15744538"/>
    <w:lvl w:ilvl="0" w:tplc="D7521BBE">
      <w:start w:val="1"/>
      <w:numFmt w:val="bullet"/>
      <w:lvlText w:val="&gt;"/>
      <w:lvlJc w:val="left"/>
      <w:pPr>
        <w:ind w:left="1080" w:hanging="360"/>
      </w:pPr>
      <w:rPr>
        <w:rFonts w:ascii="Courier New" w:hAnsi="Courier New" w:hint="default"/>
      </w:rPr>
    </w:lvl>
    <w:lvl w:ilvl="1" w:tplc="08090005">
      <w:start w:val="1"/>
      <w:numFmt w:val="bullet"/>
      <w:lvlText w:val=""/>
      <w:lvlJc w:val="left"/>
      <w:pPr>
        <w:ind w:left="1800" w:hanging="360"/>
      </w:pPr>
      <w:rPr>
        <w:rFonts w:ascii="Wingdings" w:hAnsi="Wingdings"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BBB61F2"/>
    <w:multiLevelType w:val="hybridMultilevel"/>
    <w:tmpl w:val="41A816C4"/>
    <w:lvl w:ilvl="0" w:tplc="08090001">
      <w:start w:val="1"/>
      <w:numFmt w:val="bullet"/>
      <w:lvlText w:val=""/>
      <w:lvlJc w:val="left"/>
      <w:pPr>
        <w:ind w:left="360" w:hanging="360"/>
      </w:pPr>
      <w:rPr>
        <w:rFonts w:ascii="Symbol" w:hAnsi="Symbol" w:hint="default"/>
      </w:rPr>
    </w:lvl>
    <w:lvl w:ilvl="1" w:tplc="D7521BBE">
      <w:start w:val="1"/>
      <w:numFmt w:val="bullet"/>
      <w:lvlText w:val="&gt;"/>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DF6CBD"/>
    <w:multiLevelType w:val="hybridMultilevel"/>
    <w:tmpl w:val="D9180AF4"/>
    <w:lvl w:ilvl="0" w:tplc="08090001">
      <w:start w:val="1"/>
      <w:numFmt w:val="bullet"/>
      <w:lvlText w:val=""/>
      <w:lvlJc w:val="left"/>
      <w:pPr>
        <w:ind w:left="360" w:hanging="360"/>
      </w:pPr>
      <w:rPr>
        <w:rFonts w:ascii="Symbol" w:hAnsi="Symbol" w:hint="default"/>
      </w:rPr>
    </w:lvl>
    <w:lvl w:ilvl="1" w:tplc="D7521BBE">
      <w:start w:val="1"/>
      <w:numFmt w:val="bullet"/>
      <w:lvlText w:val="&gt;"/>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63642F"/>
    <w:multiLevelType w:val="hybridMultilevel"/>
    <w:tmpl w:val="6CEABDB2"/>
    <w:lvl w:ilvl="0" w:tplc="08090001">
      <w:start w:val="1"/>
      <w:numFmt w:val="bullet"/>
      <w:lvlText w:val=""/>
      <w:lvlJc w:val="left"/>
      <w:pPr>
        <w:ind w:left="360" w:hanging="360"/>
      </w:pPr>
      <w:rPr>
        <w:rFonts w:ascii="Symbol" w:hAnsi="Symbol" w:hint="default"/>
      </w:rPr>
    </w:lvl>
    <w:lvl w:ilvl="1" w:tplc="D7521BBE">
      <w:start w:val="1"/>
      <w:numFmt w:val="bullet"/>
      <w:lvlText w:val="&gt;"/>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A40436"/>
    <w:multiLevelType w:val="hybridMultilevel"/>
    <w:tmpl w:val="58308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5D8641E"/>
    <w:multiLevelType w:val="hybridMultilevel"/>
    <w:tmpl w:val="78FA9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332BD8"/>
    <w:multiLevelType w:val="hybridMultilevel"/>
    <w:tmpl w:val="8C0AF1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C6B1288"/>
    <w:multiLevelType w:val="hybridMultilevel"/>
    <w:tmpl w:val="2AA8C78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EAC04C3"/>
    <w:multiLevelType w:val="multilevel"/>
    <w:tmpl w:val="B26C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72079B"/>
    <w:multiLevelType w:val="hybridMultilevel"/>
    <w:tmpl w:val="3D5A0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3EA1D70"/>
    <w:multiLevelType w:val="hybridMultilevel"/>
    <w:tmpl w:val="302A3B6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8E23822"/>
    <w:multiLevelType w:val="hybridMultilevel"/>
    <w:tmpl w:val="550C0A42"/>
    <w:lvl w:ilvl="0" w:tplc="D7521BBE">
      <w:start w:val="1"/>
      <w:numFmt w:val="bullet"/>
      <w:lvlText w:val="&gt;"/>
      <w:lvlJc w:val="left"/>
      <w:pPr>
        <w:ind w:left="1080" w:hanging="360"/>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A0B4875"/>
    <w:multiLevelType w:val="hybridMultilevel"/>
    <w:tmpl w:val="119864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41152"/>
    <w:multiLevelType w:val="hybridMultilevel"/>
    <w:tmpl w:val="7584DCA6"/>
    <w:lvl w:ilvl="0" w:tplc="08090001">
      <w:start w:val="1"/>
      <w:numFmt w:val="bullet"/>
      <w:lvlText w:val=""/>
      <w:lvlJc w:val="left"/>
      <w:pPr>
        <w:ind w:left="360" w:hanging="360"/>
      </w:pPr>
      <w:rPr>
        <w:rFonts w:ascii="Symbol" w:hAnsi="Symbol" w:hint="default"/>
      </w:rPr>
    </w:lvl>
    <w:lvl w:ilvl="1" w:tplc="D7521BBE">
      <w:start w:val="1"/>
      <w:numFmt w:val="bullet"/>
      <w:lvlText w:val="&gt;"/>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1"/>
  </w:num>
  <w:num w:numId="3">
    <w:abstractNumId w:val="29"/>
  </w:num>
  <w:num w:numId="4">
    <w:abstractNumId w:val="16"/>
  </w:num>
  <w:num w:numId="5">
    <w:abstractNumId w:val="7"/>
  </w:num>
  <w:num w:numId="6">
    <w:abstractNumId w:val="15"/>
  </w:num>
  <w:num w:numId="7">
    <w:abstractNumId w:val="13"/>
  </w:num>
  <w:num w:numId="8">
    <w:abstractNumId w:val="17"/>
  </w:num>
  <w:num w:numId="9">
    <w:abstractNumId w:val="18"/>
  </w:num>
  <w:num w:numId="10">
    <w:abstractNumId w:val="4"/>
  </w:num>
  <w:num w:numId="11">
    <w:abstractNumId w:val="27"/>
  </w:num>
  <w:num w:numId="12">
    <w:abstractNumId w:val="20"/>
  </w:num>
  <w:num w:numId="13">
    <w:abstractNumId w:val="14"/>
  </w:num>
  <w:num w:numId="14">
    <w:abstractNumId w:val="0"/>
  </w:num>
  <w:num w:numId="15">
    <w:abstractNumId w:val="10"/>
  </w:num>
  <w:num w:numId="16">
    <w:abstractNumId w:val="12"/>
  </w:num>
  <w:num w:numId="17">
    <w:abstractNumId w:val="6"/>
  </w:num>
  <w:num w:numId="18">
    <w:abstractNumId w:val="26"/>
  </w:num>
  <w:num w:numId="19">
    <w:abstractNumId w:val="25"/>
  </w:num>
  <w:num w:numId="20">
    <w:abstractNumId w:val="28"/>
  </w:num>
  <w:num w:numId="21">
    <w:abstractNumId w:val="8"/>
  </w:num>
  <w:num w:numId="22">
    <w:abstractNumId w:val="11"/>
  </w:num>
  <w:num w:numId="23">
    <w:abstractNumId w:val="33"/>
  </w:num>
  <w:num w:numId="24">
    <w:abstractNumId w:val="22"/>
  </w:num>
  <w:num w:numId="25">
    <w:abstractNumId w:val="21"/>
  </w:num>
  <w:num w:numId="26">
    <w:abstractNumId w:val="5"/>
  </w:num>
  <w:num w:numId="27">
    <w:abstractNumId w:val="1"/>
  </w:num>
  <w:num w:numId="28">
    <w:abstractNumId w:val="30"/>
  </w:num>
  <w:num w:numId="29">
    <w:abstractNumId w:val="32"/>
  </w:num>
  <w:num w:numId="30">
    <w:abstractNumId w:val="23"/>
  </w:num>
  <w:num w:numId="31">
    <w:abstractNumId w:val="2"/>
  </w:num>
  <w:num w:numId="32">
    <w:abstractNumId w:val="24"/>
  </w:num>
  <w:num w:numId="33">
    <w:abstractNumId w:val="9"/>
  </w:num>
  <w:num w:numId="34">
    <w:abstractNumId w:val="34"/>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AE5"/>
    <w:rsid w:val="00004538"/>
    <w:rsid w:val="00027F26"/>
    <w:rsid w:val="00034F73"/>
    <w:rsid w:val="000510C7"/>
    <w:rsid w:val="000604AA"/>
    <w:rsid w:val="00066B24"/>
    <w:rsid w:val="00094A2D"/>
    <w:rsid w:val="000B07E2"/>
    <w:rsid w:val="000F1EC1"/>
    <w:rsid w:val="00110636"/>
    <w:rsid w:val="00122D0B"/>
    <w:rsid w:val="001274E2"/>
    <w:rsid w:val="001324B1"/>
    <w:rsid w:val="001A73B4"/>
    <w:rsid w:val="001C0C3D"/>
    <w:rsid w:val="001C5B1C"/>
    <w:rsid w:val="001E1F15"/>
    <w:rsid w:val="001E2A21"/>
    <w:rsid w:val="001E41FC"/>
    <w:rsid w:val="00217676"/>
    <w:rsid w:val="00227322"/>
    <w:rsid w:val="00257A63"/>
    <w:rsid w:val="002B6B85"/>
    <w:rsid w:val="002F0BC0"/>
    <w:rsid w:val="00301933"/>
    <w:rsid w:val="00302F86"/>
    <w:rsid w:val="00357F50"/>
    <w:rsid w:val="0036426E"/>
    <w:rsid w:val="0036695C"/>
    <w:rsid w:val="003A36DA"/>
    <w:rsid w:val="003B20B8"/>
    <w:rsid w:val="003D45A4"/>
    <w:rsid w:val="003F4786"/>
    <w:rsid w:val="003F5B18"/>
    <w:rsid w:val="004110DA"/>
    <w:rsid w:val="00417EC1"/>
    <w:rsid w:val="00427FEB"/>
    <w:rsid w:val="004817EE"/>
    <w:rsid w:val="00481FDE"/>
    <w:rsid w:val="004E3D2C"/>
    <w:rsid w:val="00547260"/>
    <w:rsid w:val="00556B97"/>
    <w:rsid w:val="005632D1"/>
    <w:rsid w:val="00567720"/>
    <w:rsid w:val="00573E45"/>
    <w:rsid w:val="00586A66"/>
    <w:rsid w:val="005E2341"/>
    <w:rsid w:val="005F2C06"/>
    <w:rsid w:val="00626AD0"/>
    <w:rsid w:val="006334E3"/>
    <w:rsid w:val="00681E23"/>
    <w:rsid w:val="00686F9C"/>
    <w:rsid w:val="006B45CF"/>
    <w:rsid w:val="006E727B"/>
    <w:rsid w:val="006F25D9"/>
    <w:rsid w:val="00710D2F"/>
    <w:rsid w:val="007247BF"/>
    <w:rsid w:val="007313BC"/>
    <w:rsid w:val="00761AE5"/>
    <w:rsid w:val="00785C21"/>
    <w:rsid w:val="007A339E"/>
    <w:rsid w:val="007B2E55"/>
    <w:rsid w:val="007C13DB"/>
    <w:rsid w:val="00813C65"/>
    <w:rsid w:val="008326AE"/>
    <w:rsid w:val="008F7140"/>
    <w:rsid w:val="00912F01"/>
    <w:rsid w:val="00914A62"/>
    <w:rsid w:val="00975813"/>
    <w:rsid w:val="009966A8"/>
    <w:rsid w:val="00A14E83"/>
    <w:rsid w:val="00A72ABB"/>
    <w:rsid w:val="00A77B38"/>
    <w:rsid w:val="00A932D9"/>
    <w:rsid w:val="00AE0DA3"/>
    <w:rsid w:val="00B251A0"/>
    <w:rsid w:val="00B2588E"/>
    <w:rsid w:val="00B266C4"/>
    <w:rsid w:val="00B40B2E"/>
    <w:rsid w:val="00B863E2"/>
    <w:rsid w:val="00B935E0"/>
    <w:rsid w:val="00BC6F8A"/>
    <w:rsid w:val="00C04E64"/>
    <w:rsid w:val="00C202D9"/>
    <w:rsid w:val="00C22D56"/>
    <w:rsid w:val="00C27FAE"/>
    <w:rsid w:val="00C36EF9"/>
    <w:rsid w:val="00C42453"/>
    <w:rsid w:val="00C64DCC"/>
    <w:rsid w:val="00C80530"/>
    <w:rsid w:val="00C84684"/>
    <w:rsid w:val="00CB61DB"/>
    <w:rsid w:val="00CD2CAD"/>
    <w:rsid w:val="00CF5574"/>
    <w:rsid w:val="00D117DF"/>
    <w:rsid w:val="00D31702"/>
    <w:rsid w:val="00D65520"/>
    <w:rsid w:val="00DF326D"/>
    <w:rsid w:val="00E0219B"/>
    <w:rsid w:val="00E04144"/>
    <w:rsid w:val="00E17828"/>
    <w:rsid w:val="00E35746"/>
    <w:rsid w:val="00E41394"/>
    <w:rsid w:val="00E53937"/>
    <w:rsid w:val="00E70388"/>
    <w:rsid w:val="00E737D1"/>
    <w:rsid w:val="00EA468F"/>
    <w:rsid w:val="00F41ADD"/>
    <w:rsid w:val="00F81F71"/>
    <w:rsid w:val="00F86B38"/>
    <w:rsid w:val="00FA4F59"/>
    <w:rsid w:val="00FE1369"/>
    <w:rsid w:val="00FE3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9092C4"/>
  <w15:chartTrackingRefBased/>
  <w15:docId w15:val="{959C04EB-78BE-473E-BBA7-3CFD83A8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4E3"/>
    <w:pPr>
      <w:spacing w:line="360" w:lineRule="auto"/>
    </w:pPr>
    <w:rPr>
      <w:rFonts w:ascii="Arial" w:hAnsi="Arial"/>
      <w:sz w:val="24"/>
    </w:rPr>
  </w:style>
  <w:style w:type="paragraph" w:styleId="Heading1">
    <w:name w:val="heading 1"/>
    <w:basedOn w:val="Normal"/>
    <w:next w:val="Normal"/>
    <w:link w:val="Heading1Char"/>
    <w:uiPriority w:val="9"/>
    <w:qFormat/>
    <w:rsid w:val="00E737D1"/>
    <w:pPr>
      <w:keepNext/>
      <w:keepLines/>
      <w:spacing w:after="200"/>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qFormat/>
    <w:rsid w:val="00E737D1"/>
    <w:pPr>
      <w:keepNext/>
      <w:keepLines/>
      <w:spacing w:before="360" w:after="20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qFormat/>
    <w:rsid w:val="001C0C3D"/>
    <w:pPr>
      <w:keepNext/>
      <w:keepLines/>
      <w:spacing w:before="360" w:after="200"/>
      <w:outlineLvl w:val="2"/>
    </w:pPr>
    <w:rPr>
      <w:rFonts w:eastAsiaTheme="majorEastAsia" w:cstheme="majorBidi"/>
      <w:b/>
      <w:color w:val="2F5496" w:themeColor="accent1" w:themeShade="BF"/>
      <w:szCs w:val="24"/>
    </w:rPr>
  </w:style>
  <w:style w:type="paragraph" w:styleId="Heading4">
    <w:name w:val="heading 4"/>
    <w:basedOn w:val="Normal"/>
    <w:next w:val="Normal"/>
    <w:link w:val="Heading4Char"/>
    <w:uiPriority w:val="9"/>
    <w:qFormat/>
    <w:rsid w:val="00E737D1"/>
    <w:pPr>
      <w:keepNext/>
      <w:keepLines/>
      <w:spacing w:before="360" w:after="200"/>
      <w:outlineLvl w:val="3"/>
    </w:pPr>
    <w:rPr>
      <w:rFonts w:eastAsiaTheme="majorEastAsia" w:cstheme="majorBidi"/>
      <w:b/>
      <w:iCs/>
    </w:rPr>
  </w:style>
  <w:style w:type="paragraph" w:styleId="Heading5">
    <w:name w:val="heading 5"/>
    <w:basedOn w:val="Normal"/>
    <w:next w:val="Normal"/>
    <w:link w:val="Heading5Char"/>
    <w:uiPriority w:val="9"/>
    <w:qFormat/>
    <w:rsid w:val="00E737D1"/>
    <w:pPr>
      <w:keepNext/>
      <w:keepLines/>
      <w:spacing w:before="360" w:after="200"/>
      <w:outlineLvl w:val="4"/>
    </w:pPr>
    <w:rPr>
      <w:rFonts w:eastAsiaTheme="majorEastAsia" w:cstheme="majorBidi"/>
      <w:b/>
    </w:rPr>
  </w:style>
  <w:style w:type="paragraph" w:styleId="Heading6">
    <w:name w:val="heading 6"/>
    <w:basedOn w:val="Normal"/>
    <w:next w:val="Normal"/>
    <w:link w:val="Heading6Char"/>
    <w:uiPriority w:val="9"/>
    <w:qFormat/>
    <w:rsid w:val="00E737D1"/>
    <w:pPr>
      <w:keepNext/>
      <w:keepLines/>
      <w:spacing w:before="360" w:after="200"/>
      <w:outlineLvl w:val="5"/>
    </w:pPr>
    <w:rPr>
      <w:rFonts w:eastAsiaTheme="majorEastAsia" w:cstheme="majorBidi"/>
      <w:b/>
    </w:rPr>
  </w:style>
  <w:style w:type="paragraph" w:styleId="Heading7">
    <w:name w:val="heading 7"/>
    <w:basedOn w:val="Normal"/>
    <w:next w:val="Normal"/>
    <w:link w:val="Heading7Char"/>
    <w:uiPriority w:val="9"/>
    <w:qFormat/>
    <w:rsid w:val="00E737D1"/>
    <w:pPr>
      <w:keepNext/>
      <w:keepLines/>
      <w:spacing w:before="360" w:after="200"/>
      <w:outlineLvl w:val="6"/>
    </w:pPr>
    <w:rPr>
      <w:rFonts w:eastAsiaTheme="majorEastAsia" w:cstheme="majorBidi"/>
      <w:b/>
      <w:iCs/>
    </w:rPr>
  </w:style>
  <w:style w:type="paragraph" w:styleId="Heading8">
    <w:name w:val="heading 8"/>
    <w:basedOn w:val="Normal"/>
    <w:next w:val="Normal"/>
    <w:link w:val="Heading8Char"/>
    <w:uiPriority w:val="9"/>
    <w:qFormat/>
    <w:rsid w:val="00E737D1"/>
    <w:pPr>
      <w:keepNext/>
      <w:keepLines/>
      <w:spacing w:before="360" w:after="200"/>
      <w:outlineLvl w:val="7"/>
    </w:pPr>
    <w:rPr>
      <w:rFonts w:eastAsiaTheme="majorEastAsia" w:cstheme="majorBidi"/>
      <w:b/>
      <w:color w:val="272727" w:themeColor="text1" w:themeTint="D8"/>
      <w:szCs w:val="21"/>
    </w:rPr>
  </w:style>
  <w:style w:type="paragraph" w:styleId="Heading9">
    <w:name w:val="heading 9"/>
    <w:basedOn w:val="Normal"/>
    <w:next w:val="Normal"/>
    <w:link w:val="Heading9Char"/>
    <w:uiPriority w:val="9"/>
    <w:qFormat/>
    <w:rsid w:val="00E737D1"/>
    <w:pPr>
      <w:keepNext/>
      <w:keepLines/>
      <w:spacing w:before="360" w:after="20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37D1"/>
    <w:pPr>
      <w:spacing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E737D1"/>
    <w:rPr>
      <w:rFonts w:ascii="Arial" w:eastAsiaTheme="majorEastAsia" w:hAnsi="Arial" w:cstheme="majorBidi"/>
      <w:spacing w:val="-10"/>
      <w:kern w:val="28"/>
      <w:sz w:val="52"/>
      <w:szCs w:val="56"/>
    </w:rPr>
  </w:style>
  <w:style w:type="character" w:customStyle="1" w:styleId="Heading1Char">
    <w:name w:val="Heading 1 Char"/>
    <w:basedOn w:val="DefaultParagraphFont"/>
    <w:link w:val="Heading1"/>
    <w:uiPriority w:val="9"/>
    <w:rsid w:val="00E737D1"/>
    <w:rPr>
      <w:rFonts w:ascii="Arial" w:eastAsiaTheme="majorEastAsia" w:hAnsi="Arial" w:cstheme="majorBidi"/>
      <w:b/>
      <w:color w:val="2F5496" w:themeColor="accent1" w:themeShade="BF"/>
      <w:sz w:val="36"/>
      <w:szCs w:val="32"/>
    </w:rPr>
  </w:style>
  <w:style w:type="character" w:customStyle="1" w:styleId="Heading3Char">
    <w:name w:val="Heading 3 Char"/>
    <w:basedOn w:val="DefaultParagraphFont"/>
    <w:link w:val="Heading3"/>
    <w:uiPriority w:val="9"/>
    <w:rsid w:val="001C0C3D"/>
    <w:rPr>
      <w:rFonts w:ascii="Arial" w:eastAsiaTheme="majorEastAsia" w:hAnsi="Arial" w:cstheme="majorBidi"/>
      <w:b/>
      <w:color w:val="2F5496" w:themeColor="accent1" w:themeShade="BF"/>
      <w:sz w:val="24"/>
      <w:szCs w:val="24"/>
    </w:rPr>
  </w:style>
  <w:style w:type="character" w:customStyle="1" w:styleId="Heading2Char">
    <w:name w:val="Heading 2 Char"/>
    <w:basedOn w:val="DefaultParagraphFont"/>
    <w:link w:val="Heading2"/>
    <w:uiPriority w:val="9"/>
    <w:rsid w:val="00E737D1"/>
    <w:rPr>
      <w:rFonts w:ascii="Arial" w:eastAsiaTheme="majorEastAsia" w:hAnsi="Arial" w:cstheme="majorBidi"/>
      <w:b/>
      <w:color w:val="2F5496" w:themeColor="accent1" w:themeShade="BF"/>
      <w:sz w:val="28"/>
      <w:szCs w:val="26"/>
    </w:rPr>
  </w:style>
  <w:style w:type="character" w:customStyle="1" w:styleId="Heading4Char">
    <w:name w:val="Heading 4 Char"/>
    <w:basedOn w:val="DefaultParagraphFont"/>
    <w:link w:val="Heading4"/>
    <w:uiPriority w:val="9"/>
    <w:rsid w:val="00E737D1"/>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E737D1"/>
    <w:rPr>
      <w:rFonts w:ascii="Arial" w:eastAsiaTheme="majorEastAsia" w:hAnsi="Arial" w:cstheme="majorBidi"/>
      <w:b/>
      <w:sz w:val="24"/>
    </w:rPr>
  </w:style>
  <w:style w:type="character" w:customStyle="1" w:styleId="Heading6Char">
    <w:name w:val="Heading 6 Char"/>
    <w:basedOn w:val="DefaultParagraphFont"/>
    <w:link w:val="Heading6"/>
    <w:uiPriority w:val="9"/>
    <w:rsid w:val="00E737D1"/>
    <w:rPr>
      <w:rFonts w:ascii="Arial" w:eastAsiaTheme="majorEastAsia" w:hAnsi="Arial" w:cstheme="majorBidi"/>
      <w:b/>
      <w:sz w:val="24"/>
    </w:rPr>
  </w:style>
  <w:style w:type="character" w:customStyle="1" w:styleId="Heading7Char">
    <w:name w:val="Heading 7 Char"/>
    <w:basedOn w:val="DefaultParagraphFont"/>
    <w:link w:val="Heading7"/>
    <w:uiPriority w:val="9"/>
    <w:rsid w:val="00E737D1"/>
    <w:rPr>
      <w:rFonts w:ascii="Arial" w:eastAsiaTheme="majorEastAsia" w:hAnsi="Arial" w:cstheme="majorBidi"/>
      <w:b/>
      <w:iCs/>
      <w:sz w:val="24"/>
    </w:rPr>
  </w:style>
  <w:style w:type="character" w:customStyle="1" w:styleId="Heading8Char">
    <w:name w:val="Heading 8 Char"/>
    <w:basedOn w:val="DefaultParagraphFont"/>
    <w:link w:val="Heading8"/>
    <w:uiPriority w:val="9"/>
    <w:rsid w:val="00E737D1"/>
    <w:rPr>
      <w:rFonts w:ascii="Arial" w:eastAsiaTheme="majorEastAsia" w:hAnsi="Arial" w:cstheme="majorBidi"/>
      <w:b/>
      <w:color w:val="272727" w:themeColor="text1" w:themeTint="D8"/>
      <w:sz w:val="24"/>
      <w:szCs w:val="21"/>
    </w:rPr>
  </w:style>
  <w:style w:type="character" w:customStyle="1" w:styleId="Heading9Char">
    <w:name w:val="Heading 9 Char"/>
    <w:basedOn w:val="DefaultParagraphFont"/>
    <w:link w:val="Heading9"/>
    <w:uiPriority w:val="9"/>
    <w:rsid w:val="00E737D1"/>
    <w:rPr>
      <w:rFonts w:ascii="Arial" w:eastAsiaTheme="majorEastAsia" w:hAnsi="Arial" w:cstheme="majorBidi"/>
      <w:b/>
      <w:iCs/>
      <w:color w:val="272727" w:themeColor="text1" w:themeTint="D8"/>
      <w:sz w:val="24"/>
      <w:szCs w:val="21"/>
    </w:rPr>
  </w:style>
  <w:style w:type="character" w:customStyle="1" w:styleId="EmailStyle26">
    <w:name w:val="EmailStyle26"/>
    <w:basedOn w:val="DefaultParagraphFont"/>
    <w:semiHidden/>
    <w:rsid w:val="00C64DCC"/>
    <w:rPr>
      <w:rFonts w:ascii="Arial" w:hAnsi="Arial" w:cstheme="minorBidi" w:hint="default"/>
      <w:color w:val="auto"/>
      <w:sz w:val="22"/>
      <w:szCs w:val="22"/>
    </w:rPr>
  </w:style>
  <w:style w:type="character" w:styleId="Hyperlink">
    <w:name w:val="Hyperlink"/>
    <w:basedOn w:val="DefaultParagraphFont"/>
    <w:uiPriority w:val="99"/>
    <w:unhideWhenUsed/>
    <w:rsid w:val="00C64DCC"/>
    <w:rPr>
      <w:color w:val="0563C1" w:themeColor="hyperlink"/>
      <w:u w:val="single"/>
    </w:rPr>
  </w:style>
  <w:style w:type="character" w:styleId="FollowedHyperlink">
    <w:name w:val="FollowedHyperlink"/>
    <w:basedOn w:val="DefaultParagraphFont"/>
    <w:uiPriority w:val="99"/>
    <w:semiHidden/>
    <w:unhideWhenUsed/>
    <w:rsid w:val="00C64DCC"/>
    <w:rPr>
      <w:color w:val="954F72" w:themeColor="followedHyperlink"/>
      <w:u w:val="single"/>
    </w:rPr>
  </w:style>
  <w:style w:type="table" w:styleId="TableGrid">
    <w:name w:val="Table Grid"/>
    <w:basedOn w:val="TableNormal"/>
    <w:uiPriority w:val="39"/>
    <w:rsid w:val="00761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3E45"/>
    <w:pPr>
      <w:ind w:left="720"/>
      <w:contextualSpacing/>
    </w:pPr>
  </w:style>
  <w:style w:type="character" w:styleId="UnresolvedMention">
    <w:name w:val="Unresolved Mention"/>
    <w:basedOn w:val="DefaultParagraphFont"/>
    <w:uiPriority w:val="99"/>
    <w:unhideWhenUsed/>
    <w:rsid w:val="00427FEB"/>
    <w:rPr>
      <w:color w:val="605E5C"/>
      <w:shd w:val="clear" w:color="auto" w:fill="E1DFDD"/>
    </w:rPr>
  </w:style>
  <w:style w:type="paragraph" w:styleId="Header">
    <w:name w:val="header"/>
    <w:basedOn w:val="Normal"/>
    <w:link w:val="HeaderChar"/>
    <w:uiPriority w:val="99"/>
    <w:unhideWhenUsed/>
    <w:rsid w:val="005632D1"/>
    <w:pPr>
      <w:tabs>
        <w:tab w:val="center" w:pos="4513"/>
        <w:tab w:val="right" w:pos="9026"/>
      </w:tabs>
      <w:spacing w:line="240" w:lineRule="auto"/>
    </w:pPr>
  </w:style>
  <w:style w:type="character" w:customStyle="1" w:styleId="HeaderChar">
    <w:name w:val="Header Char"/>
    <w:basedOn w:val="DefaultParagraphFont"/>
    <w:link w:val="Header"/>
    <w:uiPriority w:val="99"/>
    <w:rsid w:val="005632D1"/>
    <w:rPr>
      <w:rFonts w:ascii="Arial" w:hAnsi="Arial"/>
      <w:sz w:val="24"/>
    </w:rPr>
  </w:style>
  <w:style w:type="paragraph" w:styleId="Footer">
    <w:name w:val="footer"/>
    <w:basedOn w:val="Normal"/>
    <w:link w:val="FooterChar"/>
    <w:uiPriority w:val="99"/>
    <w:unhideWhenUsed/>
    <w:rsid w:val="005632D1"/>
    <w:pPr>
      <w:tabs>
        <w:tab w:val="center" w:pos="4513"/>
        <w:tab w:val="right" w:pos="9026"/>
      </w:tabs>
      <w:spacing w:line="240" w:lineRule="auto"/>
    </w:pPr>
  </w:style>
  <w:style w:type="character" w:customStyle="1" w:styleId="FooterChar">
    <w:name w:val="Footer Char"/>
    <w:basedOn w:val="DefaultParagraphFont"/>
    <w:link w:val="Footer"/>
    <w:uiPriority w:val="99"/>
    <w:rsid w:val="005632D1"/>
    <w:rPr>
      <w:rFonts w:ascii="Arial" w:hAnsi="Arial"/>
      <w:sz w:val="24"/>
    </w:rPr>
  </w:style>
  <w:style w:type="character" w:styleId="CommentReference">
    <w:name w:val="annotation reference"/>
    <w:basedOn w:val="DefaultParagraphFont"/>
    <w:uiPriority w:val="99"/>
    <w:semiHidden/>
    <w:unhideWhenUsed/>
    <w:rsid w:val="00E70388"/>
    <w:rPr>
      <w:sz w:val="16"/>
      <w:szCs w:val="16"/>
    </w:rPr>
  </w:style>
  <w:style w:type="paragraph" w:styleId="CommentText">
    <w:name w:val="annotation text"/>
    <w:basedOn w:val="Normal"/>
    <w:link w:val="CommentTextChar"/>
    <w:uiPriority w:val="99"/>
    <w:semiHidden/>
    <w:unhideWhenUsed/>
    <w:rsid w:val="00E70388"/>
    <w:pPr>
      <w:spacing w:line="240" w:lineRule="auto"/>
    </w:pPr>
    <w:rPr>
      <w:sz w:val="20"/>
      <w:szCs w:val="20"/>
    </w:rPr>
  </w:style>
  <w:style w:type="character" w:customStyle="1" w:styleId="CommentTextChar">
    <w:name w:val="Comment Text Char"/>
    <w:basedOn w:val="DefaultParagraphFont"/>
    <w:link w:val="CommentText"/>
    <w:uiPriority w:val="99"/>
    <w:semiHidden/>
    <w:rsid w:val="00E7038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70388"/>
    <w:rPr>
      <w:b/>
      <w:bCs/>
    </w:rPr>
  </w:style>
  <w:style w:type="character" w:customStyle="1" w:styleId="CommentSubjectChar">
    <w:name w:val="Comment Subject Char"/>
    <w:basedOn w:val="CommentTextChar"/>
    <w:link w:val="CommentSubject"/>
    <w:uiPriority w:val="99"/>
    <w:semiHidden/>
    <w:rsid w:val="00E70388"/>
    <w:rPr>
      <w:rFonts w:ascii="Arial" w:hAnsi="Arial"/>
      <w:b/>
      <w:bCs/>
      <w:sz w:val="20"/>
      <w:szCs w:val="20"/>
    </w:rPr>
  </w:style>
  <w:style w:type="character" w:styleId="Mention">
    <w:name w:val="Mention"/>
    <w:basedOn w:val="DefaultParagraphFont"/>
    <w:uiPriority w:val="99"/>
    <w:unhideWhenUsed/>
    <w:rsid w:val="00E70388"/>
    <w:rPr>
      <w:color w:val="2B579A"/>
      <w:shd w:val="clear" w:color="auto" w:fill="E1DFDD"/>
    </w:rPr>
  </w:style>
  <w:style w:type="paragraph" w:styleId="NormalWeb">
    <w:name w:val="Normal (Web)"/>
    <w:basedOn w:val="Normal"/>
    <w:uiPriority w:val="99"/>
    <w:semiHidden/>
    <w:unhideWhenUsed/>
    <w:rsid w:val="00C04E64"/>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TMLDefinition">
    <w:name w:val="HTML Definition"/>
    <w:basedOn w:val="DefaultParagraphFont"/>
    <w:uiPriority w:val="99"/>
    <w:semiHidden/>
    <w:unhideWhenUsed/>
    <w:rsid w:val="00C04E64"/>
    <w:rPr>
      <w:i/>
      <w:iCs/>
    </w:rPr>
  </w:style>
  <w:style w:type="character" w:customStyle="1" w:styleId="showhidefaq">
    <w:name w:val="showhidefaq"/>
    <w:basedOn w:val="DefaultParagraphFont"/>
    <w:rsid w:val="00C04E64"/>
  </w:style>
  <w:style w:type="paragraph" w:customStyle="1" w:styleId="Default">
    <w:name w:val="Default"/>
    <w:rsid w:val="00D6552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78582">
      <w:bodyDiv w:val="1"/>
      <w:marLeft w:val="0"/>
      <w:marRight w:val="0"/>
      <w:marTop w:val="0"/>
      <w:marBottom w:val="0"/>
      <w:divBdr>
        <w:top w:val="none" w:sz="0" w:space="0" w:color="auto"/>
        <w:left w:val="none" w:sz="0" w:space="0" w:color="auto"/>
        <w:bottom w:val="none" w:sz="0" w:space="0" w:color="auto"/>
        <w:right w:val="none" w:sz="0" w:space="0" w:color="auto"/>
      </w:divBdr>
    </w:div>
    <w:div w:id="1070074568">
      <w:bodyDiv w:val="1"/>
      <w:marLeft w:val="0"/>
      <w:marRight w:val="0"/>
      <w:marTop w:val="0"/>
      <w:marBottom w:val="0"/>
      <w:divBdr>
        <w:top w:val="none" w:sz="0" w:space="0" w:color="auto"/>
        <w:left w:val="none" w:sz="0" w:space="0" w:color="auto"/>
        <w:bottom w:val="none" w:sz="0" w:space="0" w:color="auto"/>
        <w:right w:val="none" w:sz="0" w:space="0" w:color="auto"/>
      </w:divBdr>
      <w:divsChild>
        <w:div w:id="881214860">
          <w:marLeft w:val="0"/>
          <w:marRight w:val="0"/>
          <w:marTop w:val="150"/>
          <w:marBottom w:val="150"/>
          <w:divBdr>
            <w:top w:val="none" w:sz="0" w:space="0" w:color="auto"/>
            <w:left w:val="none" w:sz="0" w:space="0" w:color="auto"/>
            <w:bottom w:val="none" w:sz="0" w:space="0" w:color="auto"/>
            <w:right w:val="none" w:sz="0" w:space="0" w:color="auto"/>
          </w:divBdr>
        </w:div>
        <w:div w:id="986665684">
          <w:marLeft w:val="0"/>
          <w:marRight w:val="0"/>
          <w:marTop w:val="0"/>
          <w:marBottom w:val="150"/>
          <w:divBdr>
            <w:top w:val="none" w:sz="0" w:space="0" w:color="auto"/>
            <w:left w:val="none" w:sz="0" w:space="0" w:color="auto"/>
            <w:bottom w:val="none" w:sz="0" w:space="0" w:color="auto"/>
            <w:right w:val="none" w:sz="0" w:space="0" w:color="auto"/>
          </w:divBdr>
        </w:div>
        <w:div w:id="900094641">
          <w:marLeft w:val="0"/>
          <w:marRight w:val="0"/>
          <w:marTop w:val="0"/>
          <w:marBottom w:val="150"/>
          <w:divBdr>
            <w:top w:val="none" w:sz="0" w:space="0" w:color="auto"/>
            <w:left w:val="none" w:sz="0" w:space="0" w:color="auto"/>
            <w:bottom w:val="none" w:sz="0" w:space="0" w:color="auto"/>
            <w:right w:val="none" w:sz="0" w:space="0" w:color="auto"/>
          </w:divBdr>
        </w:div>
        <w:div w:id="1267692413">
          <w:marLeft w:val="0"/>
          <w:marRight w:val="0"/>
          <w:marTop w:val="0"/>
          <w:marBottom w:val="150"/>
          <w:divBdr>
            <w:top w:val="none" w:sz="0" w:space="0" w:color="auto"/>
            <w:left w:val="none" w:sz="0" w:space="0" w:color="auto"/>
            <w:bottom w:val="none" w:sz="0" w:space="0" w:color="auto"/>
            <w:right w:val="none" w:sz="0" w:space="0" w:color="auto"/>
          </w:divBdr>
        </w:div>
        <w:div w:id="1068259921">
          <w:marLeft w:val="0"/>
          <w:marRight w:val="0"/>
          <w:marTop w:val="0"/>
          <w:marBottom w:val="150"/>
          <w:divBdr>
            <w:top w:val="none" w:sz="0" w:space="0" w:color="auto"/>
            <w:left w:val="none" w:sz="0" w:space="0" w:color="auto"/>
            <w:bottom w:val="none" w:sz="0" w:space="0" w:color="auto"/>
            <w:right w:val="none" w:sz="0" w:space="0" w:color="auto"/>
          </w:divBdr>
        </w:div>
        <w:div w:id="1881547356">
          <w:marLeft w:val="0"/>
          <w:marRight w:val="0"/>
          <w:marTop w:val="0"/>
          <w:marBottom w:val="150"/>
          <w:divBdr>
            <w:top w:val="none" w:sz="0" w:space="0" w:color="auto"/>
            <w:left w:val="none" w:sz="0" w:space="0" w:color="auto"/>
            <w:bottom w:val="none" w:sz="0" w:space="0" w:color="auto"/>
            <w:right w:val="none" w:sz="0" w:space="0" w:color="auto"/>
          </w:divBdr>
        </w:div>
      </w:divsChild>
    </w:div>
    <w:div w:id="123393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reatercambridgeplanning.org/localpla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calplan@greatercambridgeplanning.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mage xmlns="9cf17ce6-9f37-411b-9d80-3806b07092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2BF5CC7218648A6188497B196D90D" ma:contentTypeVersion="14" ma:contentTypeDescription="Create a new document." ma:contentTypeScope="" ma:versionID="929b2c2012efd629399c26d061c6d778">
  <xsd:schema xmlns:xsd="http://www.w3.org/2001/XMLSchema" xmlns:xs="http://www.w3.org/2001/XMLSchema" xmlns:p="http://schemas.microsoft.com/office/2006/metadata/properties" xmlns:ns2="9cf17ce6-9f37-411b-9d80-3806b0709260" xmlns:ns3="72047f3e-e38d-41e4-9a66-9a0d5ddcdd4b" targetNamespace="http://schemas.microsoft.com/office/2006/metadata/properties" ma:root="true" ma:fieldsID="bb094dbe20fb2cfa74f23bb58c5157c6" ns2:_="" ns3:_="">
    <xsd:import namespace="9cf17ce6-9f37-411b-9d80-3806b0709260"/>
    <xsd:import namespace="72047f3e-e38d-41e4-9a66-9a0d5ddcdd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imag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17ce6-9f37-411b-9d80-3806b0709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image" ma:index="20"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047f3e-e38d-41e4-9a66-9a0d5ddcdd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2B0DA3-56E7-4F9A-A842-15D13E4C27BB}">
  <ds:schemaRefs>
    <ds:schemaRef ds:uri="http://schemas.openxmlformats.org/officeDocument/2006/bibliography"/>
  </ds:schemaRefs>
</ds:datastoreItem>
</file>

<file path=customXml/itemProps2.xml><?xml version="1.0" encoding="utf-8"?>
<ds:datastoreItem xmlns:ds="http://schemas.openxmlformats.org/officeDocument/2006/customXml" ds:itemID="{80D1EE27-A138-4A94-A26F-8746BA2D295A}">
  <ds:schemaRefs>
    <ds:schemaRef ds:uri="http://schemas.microsoft.com/office/2006/metadata/properties"/>
    <ds:schemaRef ds:uri="http://schemas.microsoft.com/office/infopath/2007/PartnerControls"/>
    <ds:schemaRef ds:uri="9cf17ce6-9f37-411b-9d80-3806b0709260"/>
  </ds:schemaRefs>
</ds:datastoreItem>
</file>

<file path=customXml/itemProps3.xml><?xml version="1.0" encoding="utf-8"?>
<ds:datastoreItem xmlns:ds="http://schemas.openxmlformats.org/officeDocument/2006/customXml" ds:itemID="{2F7B1F05-7130-4C70-835D-C5E0F06C7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f17ce6-9f37-411b-9d80-3806b0709260"/>
    <ds:schemaRef ds:uri="72047f3e-e38d-41e4-9a66-9a0d5ddcd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452AB7-3FAF-4E85-942B-33460F6926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4898</Words>
  <Characters>27921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Loftus</dc:creator>
  <cp:keywords/>
  <dc:description/>
  <cp:lastModifiedBy>Richard Sykes-Popham</cp:lastModifiedBy>
  <cp:revision>5</cp:revision>
  <dcterms:created xsi:type="dcterms:W3CDTF">2021-12-13T13:52:00Z</dcterms:created>
  <dcterms:modified xsi:type="dcterms:W3CDTF">2021-12-13T13:57:00Z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0x01010069B2BF5CC7218648A6188497B196D90D</vt:lpwstr>
  </property>
</Properties>
</file>