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338D" w14:textId="00F84865" w:rsidR="004E2DE8" w:rsidRPr="005F7B9B" w:rsidRDefault="004E2DE8" w:rsidP="005F7B9B">
      <w:pPr>
        <w:spacing w:after="0" w:line="280" w:lineRule="exact"/>
        <w:jc w:val="center"/>
        <w:rPr>
          <w:b/>
          <w:bCs/>
          <w:sz w:val="28"/>
          <w:szCs w:val="28"/>
        </w:rPr>
      </w:pPr>
      <w:r w:rsidRPr="005F7B9B">
        <w:rPr>
          <w:b/>
          <w:bCs/>
          <w:sz w:val="28"/>
          <w:szCs w:val="28"/>
        </w:rPr>
        <w:t>Objection to the Proposed Tritax Development – Lolworth</w:t>
      </w:r>
      <w:r w:rsidR="005F7B9B">
        <w:rPr>
          <w:b/>
          <w:bCs/>
          <w:sz w:val="28"/>
          <w:szCs w:val="28"/>
        </w:rPr>
        <w:t xml:space="preserve">. </w:t>
      </w:r>
      <w:r w:rsidRPr="005F7B9B">
        <w:rPr>
          <w:b/>
          <w:bCs/>
          <w:sz w:val="28"/>
          <w:szCs w:val="28"/>
        </w:rPr>
        <w:t>With Support for GCLP-Allocated Development</w:t>
      </w:r>
    </w:p>
    <w:p w14:paraId="37B15048" w14:textId="77777777" w:rsidR="005F7B9B" w:rsidRDefault="005F7B9B" w:rsidP="004E2DE8">
      <w:pPr>
        <w:rPr>
          <w:b/>
          <w:bCs/>
        </w:rPr>
      </w:pPr>
    </w:p>
    <w:p w14:paraId="517E6896" w14:textId="48E942B7" w:rsidR="004E2DE8" w:rsidRPr="004E2DE8" w:rsidRDefault="004E2DE8" w:rsidP="004E2DE8">
      <w:pPr>
        <w:rPr>
          <w:b/>
          <w:bCs/>
        </w:rPr>
      </w:pPr>
      <w:r w:rsidRPr="004E2DE8">
        <w:rPr>
          <w:b/>
          <w:bCs/>
        </w:rPr>
        <w:t>1. Support for Planned and Allocated Development under the GCLP</w:t>
      </w:r>
    </w:p>
    <w:p w14:paraId="797F1D74" w14:textId="0AC8DF55" w:rsidR="004E2DE8" w:rsidRDefault="004E2DE8" w:rsidP="004E2DE8">
      <w:pPr>
        <w:rPr>
          <w:b/>
          <w:bCs/>
        </w:rPr>
      </w:pPr>
      <w:r>
        <w:t xml:space="preserve">The community of Lolworth is not opposed to development in principle. On the contrary, Lolworth supports the growth strategy set out in the </w:t>
      </w:r>
      <w:r w:rsidRPr="60993ABE">
        <w:rPr>
          <w:b/>
          <w:bCs/>
        </w:rPr>
        <w:t>Greater Cambridge Local Plan (GCLP)</w:t>
      </w:r>
      <w:r>
        <w:t xml:space="preserve">, including those developments that have been </w:t>
      </w:r>
      <w:r w:rsidRPr="60993ABE">
        <w:rPr>
          <w:b/>
          <w:bCs/>
        </w:rPr>
        <w:t>properly allocated following evidence-based assessment, public consultation, and sustainability appraisal</w:t>
      </w:r>
      <w:r>
        <w:t>.</w:t>
      </w:r>
      <w:r w:rsidR="00E34EBD">
        <w:t xml:space="preserve"> i.e. Jaynic and Slate Hall Farm</w:t>
      </w:r>
      <w:r w:rsidR="00795D91">
        <w:t>.</w:t>
      </w:r>
    </w:p>
    <w:p w14:paraId="30F6BA4A" w14:textId="0DFF8028" w:rsidR="0035746E" w:rsidRPr="0035746E" w:rsidRDefault="00ED0765" w:rsidP="004E2DE8">
      <w:r w:rsidRPr="00ED0765">
        <w:t>In addition</w:t>
      </w:r>
      <w:r>
        <w:t xml:space="preserve">, Lolworth </w:t>
      </w:r>
      <w:r w:rsidR="00FB3FC3">
        <w:t>supports the</w:t>
      </w:r>
      <w:r w:rsidR="0035746E" w:rsidRPr="0035746E">
        <w:t xml:space="preserve"> similar views as expressed by</w:t>
      </w:r>
      <w:r w:rsidR="0035746E">
        <w:t xml:space="preserve"> the </w:t>
      </w:r>
      <w:r w:rsidR="00FB3FC3" w:rsidRPr="005F7B9B">
        <w:rPr>
          <w:b/>
          <w:bCs/>
        </w:rPr>
        <w:t xml:space="preserve">Boxworth </w:t>
      </w:r>
      <w:r w:rsidR="0035746E" w:rsidRPr="005F7B9B">
        <w:rPr>
          <w:b/>
          <w:bCs/>
        </w:rPr>
        <w:t xml:space="preserve">A14 </w:t>
      </w:r>
      <w:r w:rsidR="005F7B9B" w:rsidRPr="005F7B9B">
        <w:rPr>
          <w:b/>
          <w:bCs/>
        </w:rPr>
        <w:t>Logistics Development F</w:t>
      </w:r>
      <w:r w:rsidR="0035746E" w:rsidRPr="005F7B9B">
        <w:rPr>
          <w:b/>
          <w:bCs/>
        </w:rPr>
        <w:t xml:space="preserve">orum </w:t>
      </w:r>
      <w:r w:rsidR="005F7B9B" w:rsidRPr="005F7B9B">
        <w:t>which</w:t>
      </w:r>
      <w:r w:rsidR="005F7B9B">
        <w:rPr>
          <w:b/>
          <w:bCs/>
        </w:rPr>
        <w:t xml:space="preserve"> </w:t>
      </w:r>
      <w:r w:rsidR="005F7B9B">
        <w:t>defines</w:t>
      </w:r>
      <w:r w:rsidR="0035746E" w:rsidRPr="0035746E">
        <w:t xml:space="preserve"> the global and cumulative effects of the two allocated </w:t>
      </w:r>
      <w:r w:rsidR="005F7B9B">
        <w:t xml:space="preserve">Jaynic and Slate Hall Farm </w:t>
      </w:r>
      <w:r w:rsidR="00FB3FC3">
        <w:t xml:space="preserve">sites by GCLP </w:t>
      </w:r>
      <w:r w:rsidR="0035746E" w:rsidRPr="0035746E">
        <w:t xml:space="preserve">and </w:t>
      </w:r>
      <w:r w:rsidR="005F7B9B">
        <w:t xml:space="preserve">also </w:t>
      </w:r>
      <w:r w:rsidR="00FB3FC3">
        <w:t xml:space="preserve">the </w:t>
      </w:r>
      <w:r w:rsidR="0096112E">
        <w:t xml:space="preserve">effects of </w:t>
      </w:r>
      <w:r w:rsidR="00FB3FC3">
        <w:t xml:space="preserve">the </w:t>
      </w:r>
      <w:r w:rsidR="005F7B9B">
        <w:t xml:space="preserve">non-allocated </w:t>
      </w:r>
      <w:r w:rsidR="0035746E" w:rsidRPr="0035746E">
        <w:t>Newland and Tritax</w:t>
      </w:r>
      <w:r w:rsidR="00FB3FC3">
        <w:t xml:space="preserve"> </w:t>
      </w:r>
      <w:r w:rsidR="005F7B9B">
        <w:t>site</w:t>
      </w:r>
      <w:r w:rsidR="00FB3FC3">
        <w:t>s.</w:t>
      </w:r>
    </w:p>
    <w:p w14:paraId="1C99D89D" w14:textId="77777777" w:rsidR="004E2DE8" w:rsidRPr="004E2DE8" w:rsidRDefault="004E2DE8" w:rsidP="004E2DE8">
      <w:r w:rsidRPr="004E2DE8">
        <w:t>Allocated sites within the GCLP reflect a balanced approach to growth, ensuring that development:</w:t>
      </w:r>
    </w:p>
    <w:p w14:paraId="5517C10C" w14:textId="77777777" w:rsidR="004E2DE8" w:rsidRPr="004E2DE8" w:rsidRDefault="004E2DE8" w:rsidP="004E2DE8">
      <w:pPr>
        <w:numPr>
          <w:ilvl w:val="0"/>
          <w:numId w:val="1"/>
        </w:numPr>
      </w:pPr>
      <w:r w:rsidRPr="004E2DE8">
        <w:t>Is appropriately scaled to the size and function of settlements</w:t>
      </w:r>
    </w:p>
    <w:p w14:paraId="0B55C42D" w14:textId="77777777" w:rsidR="004E2DE8" w:rsidRPr="004E2DE8" w:rsidRDefault="004E2DE8" w:rsidP="004E2DE8">
      <w:pPr>
        <w:numPr>
          <w:ilvl w:val="0"/>
          <w:numId w:val="1"/>
        </w:numPr>
      </w:pPr>
      <w:r w:rsidRPr="004E2DE8">
        <w:t>Is supported by infrastructure planning and mitigation</w:t>
      </w:r>
    </w:p>
    <w:p w14:paraId="7453AB84" w14:textId="77777777" w:rsidR="004E2DE8" w:rsidRPr="004E2DE8" w:rsidRDefault="004E2DE8" w:rsidP="004E2DE8">
      <w:pPr>
        <w:numPr>
          <w:ilvl w:val="0"/>
          <w:numId w:val="1"/>
        </w:numPr>
      </w:pPr>
      <w:r w:rsidRPr="004E2DE8">
        <w:t>Responds to identified local and strategic needs</w:t>
      </w:r>
    </w:p>
    <w:p w14:paraId="48E7D77F" w14:textId="77777777" w:rsidR="004E2DE8" w:rsidRPr="004E2DE8" w:rsidRDefault="004E2DE8" w:rsidP="004E2DE8">
      <w:pPr>
        <w:numPr>
          <w:ilvl w:val="0"/>
          <w:numId w:val="1"/>
        </w:numPr>
      </w:pPr>
      <w:r w:rsidRPr="004E2DE8">
        <w:t>Protects the intrinsic character of rural communities</w:t>
      </w:r>
    </w:p>
    <w:p w14:paraId="37BFCCF9" w14:textId="11ABC9C6" w:rsidR="0078617D" w:rsidRPr="006677C2" w:rsidRDefault="004E2DE8" w:rsidP="004E2DE8">
      <w:r w:rsidRPr="004E2DE8">
        <w:t>Lolworth recognises that planned development, when delivered in accordance with the Local Plan, can support sustainable growth while safeguarding the qualities that make villages such as Lolworth distinctive and viable.</w:t>
      </w:r>
    </w:p>
    <w:p w14:paraId="00F2DFE1" w14:textId="23420B7F" w:rsidR="004E2DE8" w:rsidRPr="004E2DE8" w:rsidRDefault="004E2DE8" w:rsidP="004E2DE8">
      <w:pPr>
        <w:rPr>
          <w:b/>
          <w:bCs/>
        </w:rPr>
      </w:pPr>
      <w:r w:rsidRPr="004E2DE8">
        <w:rPr>
          <w:b/>
          <w:bCs/>
        </w:rPr>
        <w:t>2. Tritax Proposal Is Not a GCLP-Allocated Development</w:t>
      </w:r>
    </w:p>
    <w:p w14:paraId="008358CA" w14:textId="77777777" w:rsidR="004E2DE8" w:rsidRPr="004E2DE8" w:rsidRDefault="004E2DE8" w:rsidP="004E2DE8">
      <w:r w:rsidRPr="004E2DE8">
        <w:t xml:space="preserve">In contrast, the proposed Tritax development does </w:t>
      </w:r>
      <w:r w:rsidRPr="004E2DE8">
        <w:rPr>
          <w:b/>
          <w:bCs/>
        </w:rPr>
        <w:t>not form part of the GCLP’s spatial strategy</w:t>
      </w:r>
      <w:r w:rsidRPr="004E2DE8">
        <w:t xml:space="preserve"> and has not been identified as a suitable or necessary allocation through the plan-making process. Allowing a speculative, large-scale logistics development outside of the adopted or emerging plan framework would fundamentally undermine the integrity of the Local Plan system.</w:t>
      </w:r>
    </w:p>
    <w:p w14:paraId="49F1F623" w14:textId="77777777" w:rsidR="004E2DE8" w:rsidRPr="004E2DE8" w:rsidRDefault="004E2DE8" w:rsidP="004E2DE8">
      <w:r w:rsidRPr="004E2DE8">
        <w:t>The GCLP directs major employment and logistics development to locations that are:</w:t>
      </w:r>
    </w:p>
    <w:p w14:paraId="627C897B" w14:textId="77777777" w:rsidR="004E2DE8" w:rsidRPr="004E2DE8" w:rsidRDefault="004E2DE8" w:rsidP="004E2DE8">
      <w:pPr>
        <w:numPr>
          <w:ilvl w:val="0"/>
          <w:numId w:val="2"/>
        </w:numPr>
      </w:pPr>
      <w:r w:rsidRPr="004E2DE8">
        <w:t>Strategically planned</w:t>
      </w:r>
    </w:p>
    <w:p w14:paraId="5EB3171D" w14:textId="77777777" w:rsidR="004E2DE8" w:rsidRPr="004E2DE8" w:rsidRDefault="004E2DE8" w:rsidP="004E2DE8">
      <w:pPr>
        <w:numPr>
          <w:ilvl w:val="0"/>
          <w:numId w:val="2"/>
        </w:numPr>
      </w:pPr>
      <w:r w:rsidRPr="004E2DE8">
        <w:t>Well connected by appropriate transport infrastructure</w:t>
      </w:r>
    </w:p>
    <w:p w14:paraId="178A8ECD" w14:textId="77777777" w:rsidR="004E2DE8" w:rsidRPr="004E2DE8" w:rsidRDefault="004E2DE8" w:rsidP="004E2DE8">
      <w:pPr>
        <w:numPr>
          <w:ilvl w:val="0"/>
          <w:numId w:val="2"/>
        </w:numPr>
      </w:pPr>
      <w:r w:rsidRPr="004E2DE8">
        <w:t>Capable of accommodating such uses without unacceptable harm</w:t>
      </w:r>
    </w:p>
    <w:p w14:paraId="7DAA525A" w14:textId="066871E5" w:rsidR="0078617D" w:rsidRPr="004E2DE8" w:rsidRDefault="004E2DE8" w:rsidP="004E2DE8">
      <w:r>
        <w:t>The Tritax proposal does not meet these criteria in the context of Lolworth.</w:t>
      </w:r>
    </w:p>
    <w:p w14:paraId="028D4AB3" w14:textId="0436C9FB" w:rsidR="1D428702" w:rsidRDefault="1D428702"/>
    <w:p w14:paraId="25D7492C" w14:textId="77777777" w:rsidR="004E2DE8" w:rsidRPr="004E2DE8" w:rsidRDefault="004E2DE8" w:rsidP="004E2DE8">
      <w:pPr>
        <w:rPr>
          <w:b/>
          <w:bCs/>
        </w:rPr>
      </w:pPr>
      <w:r w:rsidRPr="004E2DE8">
        <w:rPr>
          <w:b/>
          <w:bCs/>
        </w:rPr>
        <w:t>3. Inappropriate Scale Relative to Lolworth and Allocated Growth</w:t>
      </w:r>
    </w:p>
    <w:p w14:paraId="4F1EF254" w14:textId="77777777" w:rsidR="004E2DE8" w:rsidRPr="004E2DE8" w:rsidRDefault="004E2DE8" w:rsidP="004E2DE8">
      <w:r w:rsidRPr="004E2DE8">
        <w:t xml:space="preserve">While GCLP-allocated developments are proportionate and designed to integrate with existing settlements, the Tritax proposal represents a </w:t>
      </w:r>
      <w:r w:rsidRPr="004E2DE8">
        <w:rPr>
          <w:b/>
          <w:bCs/>
        </w:rPr>
        <w:t>quantum of development entirely disproportionate to Lolworth’s scale and function</w:t>
      </w:r>
      <w:r w:rsidRPr="004E2DE8">
        <w:t>.</w:t>
      </w:r>
    </w:p>
    <w:p w14:paraId="71435615" w14:textId="77777777" w:rsidR="004E2DE8" w:rsidRPr="004E2DE8" w:rsidRDefault="004E2DE8" w:rsidP="004E2DE8">
      <w:r w:rsidRPr="004E2DE8">
        <w:t>A strategic logistics facility introduces:</w:t>
      </w:r>
    </w:p>
    <w:p w14:paraId="3F4A4E1A" w14:textId="77777777" w:rsidR="004E2DE8" w:rsidRPr="004E2DE8" w:rsidRDefault="004E2DE8" w:rsidP="004E2DE8">
      <w:pPr>
        <w:numPr>
          <w:ilvl w:val="0"/>
          <w:numId w:val="3"/>
        </w:numPr>
      </w:pPr>
      <w:r w:rsidRPr="004E2DE8">
        <w:t>Large, high-mass buildings</w:t>
      </w:r>
    </w:p>
    <w:p w14:paraId="20A319A2" w14:textId="77777777" w:rsidR="004E2DE8" w:rsidRPr="004E2DE8" w:rsidRDefault="004E2DE8" w:rsidP="004E2DE8">
      <w:pPr>
        <w:numPr>
          <w:ilvl w:val="0"/>
          <w:numId w:val="3"/>
        </w:numPr>
      </w:pPr>
      <w:r w:rsidRPr="004E2DE8">
        <w:t>Extensive service yards and hardstanding</w:t>
      </w:r>
    </w:p>
    <w:p w14:paraId="2C1B1BB1" w14:textId="77777777" w:rsidR="004E2DE8" w:rsidRPr="004E2DE8" w:rsidRDefault="004E2DE8" w:rsidP="004E2DE8">
      <w:pPr>
        <w:numPr>
          <w:ilvl w:val="0"/>
          <w:numId w:val="3"/>
        </w:numPr>
      </w:pPr>
      <w:r w:rsidRPr="004E2DE8">
        <w:t>Continuous HGV movements</w:t>
      </w:r>
    </w:p>
    <w:p w14:paraId="270225DA" w14:textId="77777777" w:rsidR="004E2DE8" w:rsidRDefault="004E2DE8" w:rsidP="004E2DE8">
      <w:r w:rsidRPr="004E2DE8">
        <w:t>This level of industrial activity is not comparable to the forms of development envisaged for rural villages under the GCLP and would overwhelm the settlement, materially altering its role and character beyond what the Local Plan intends.</w:t>
      </w:r>
    </w:p>
    <w:p w14:paraId="1872D9CA" w14:textId="77777777" w:rsidR="004E2DE8" w:rsidRPr="004E2DE8" w:rsidRDefault="004E2DE8" w:rsidP="004E2DE8">
      <w:pPr>
        <w:rPr>
          <w:b/>
          <w:bCs/>
        </w:rPr>
      </w:pPr>
      <w:r w:rsidRPr="004E2DE8">
        <w:rPr>
          <w:b/>
          <w:bCs/>
        </w:rPr>
        <w:t>4. Conflict with the Rural Spatial Strategy</w:t>
      </w:r>
    </w:p>
    <w:p w14:paraId="0919D9B3" w14:textId="77777777" w:rsidR="004E2DE8" w:rsidRPr="004E2DE8" w:rsidRDefault="004E2DE8" w:rsidP="004E2DE8">
      <w:r w:rsidRPr="004E2DE8">
        <w:t xml:space="preserve">The GCLP seeks to </w:t>
      </w:r>
      <w:r w:rsidRPr="004E2DE8">
        <w:rPr>
          <w:b/>
          <w:bCs/>
        </w:rPr>
        <w:t>protect rural villages from inappropriate commercial and industrial expansion</w:t>
      </w:r>
      <w:r w:rsidRPr="004E2DE8">
        <w:t>, ensuring that development in such locations remains small-scale and directly related to local needs.</w:t>
      </w:r>
    </w:p>
    <w:p w14:paraId="3FC16E29" w14:textId="77777777" w:rsidR="004E2DE8" w:rsidRDefault="004E2DE8" w:rsidP="004E2DE8">
      <w:r w:rsidRPr="004E2DE8">
        <w:t>The Tritax proposal is driven by regional or national logistics demand rather than the needs of Lolworth or its surrounding communities. This conflicts with the plan-led approach endorsed by both national and local policy, which requires development to be located where it is most sustainable and policy-compliant.</w:t>
      </w:r>
    </w:p>
    <w:p w14:paraId="7AABF554" w14:textId="77777777" w:rsidR="004E2DE8" w:rsidRPr="004E2DE8" w:rsidRDefault="004E2DE8" w:rsidP="004E2DE8">
      <w:pPr>
        <w:rPr>
          <w:b/>
          <w:bCs/>
        </w:rPr>
      </w:pPr>
      <w:r w:rsidRPr="004E2DE8">
        <w:rPr>
          <w:b/>
          <w:bCs/>
        </w:rPr>
        <w:t>5. Infrastructure and Transport Impacts Beyond Allocated Assumptions</w:t>
      </w:r>
    </w:p>
    <w:p w14:paraId="31EFA0EF" w14:textId="434850BD" w:rsidR="004E2DE8" w:rsidRPr="004E2DE8" w:rsidRDefault="004E2DE8" w:rsidP="004E2DE8">
      <w:r w:rsidRPr="004E2DE8">
        <w:t xml:space="preserve">Infrastructure assessments underpinning the GCLP allocations are based on the scale and type of development identified in the plan. The Tritax development introduces </w:t>
      </w:r>
      <w:r w:rsidRPr="004E2DE8">
        <w:rPr>
          <w:b/>
          <w:bCs/>
        </w:rPr>
        <w:t>traffic volumes and HGV movements</w:t>
      </w:r>
      <w:r w:rsidR="00BB3CBE">
        <w:rPr>
          <w:b/>
          <w:bCs/>
        </w:rPr>
        <w:t xml:space="preserve"> </w:t>
      </w:r>
      <w:r w:rsidR="00BB3CBE" w:rsidRPr="00BB3CBE">
        <w:t>that will place</w:t>
      </w:r>
      <w:r w:rsidRPr="004E2DE8">
        <w:t xml:space="preserve"> undue pressure on:</w:t>
      </w:r>
    </w:p>
    <w:p w14:paraId="50FDCFC2" w14:textId="77777777" w:rsidR="004E2DE8" w:rsidRPr="004E2DE8" w:rsidRDefault="004E2DE8" w:rsidP="004E2DE8">
      <w:pPr>
        <w:numPr>
          <w:ilvl w:val="0"/>
          <w:numId w:val="4"/>
        </w:numPr>
      </w:pPr>
      <w:r w:rsidRPr="004E2DE8">
        <w:t>Rural road networks</w:t>
      </w:r>
    </w:p>
    <w:p w14:paraId="341824A3" w14:textId="4A130132" w:rsidR="004E2DE8" w:rsidRPr="004E2DE8" w:rsidRDefault="004E2DE8" w:rsidP="004E2DE8">
      <w:pPr>
        <w:numPr>
          <w:ilvl w:val="0"/>
          <w:numId w:val="4"/>
        </w:numPr>
      </w:pPr>
      <w:r w:rsidRPr="004E2DE8">
        <w:t>Junction capacity</w:t>
      </w:r>
      <w:r w:rsidR="000017D1">
        <w:t xml:space="preserve"> (Bar Hill)</w:t>
      </w:r>
    </w:p>
    <w:p w14:paraId="1D424EEB" w14:textId="77777777" w:rsidR="004E2DE8" w:rsidRPr="004E2DE8" w:rsidRDefault="004E2DE8" w:rsidP="004E2DE8">
      <w:pPr>
        <w:numPr>
          <w:ilvl w:val="0"/>
          <w:numId w:val="4"/>
        </w:numPr>
      </w:pPr>
      <w:r w:rsidRPr="004E2DE8">
        <w:t>Pedestrian and cyclist safety</w:t>
      </w:r>
    </w:p>
    <w:p w14:paraId="13DA4EB6" w14:textId="77777777" w:rsidR="004E2DE8" w:rsidRDefault="004E2DE8" w:rsidP="004E2DE8">
      <w:r w:rsidRPr="004E2DE8">
        <w:t>This risks compromising the deliverability and sustainability of GCLP-allocated developments by introducing unplanned and cumulative impacts that have not been properly assessed through the Local Plan process.</w:t>
      </w:r>
    </w:p>
    <w:p w14:paraId="77B4BF82" w14:textId="77777777" w:rsidR="00214916" w:rsidRDefault="00214916" w:rsidP="004E2DE8"/>
    <w:p w14:paraId="36AE9892" w14:textId="77777777" w:rsidR="00214916" w:rsidRDefault="00214916" w:rsidP="004E2DE8"/>
    <w:p w14:paraId="390A5E94" w14:textId="77777777" w:rsidR="004E2DE8" w:rsidRPr="004E2DE8" w:rsidRDefault="004E2DE8" w:rsidP="004E2DE8">
      <w:pPr>
        <w:rPr>
          <w:b/>
          <w:bCs/>
        </w:rPr>
      </w:pPr>
      <w:r w:rsidRPr="004E2DE8">
        <w:rPr>
          <w:b/>
          <w:bCs/>
        </w:rPr>
        <w:lastRenderedPageBreak/>
        <w:t>6. Environmental and Amenity Harm Not Anticipated by the GCLP</w:t>
      </w:r>
    </w:p>
    <w:p w14:paraId="5DDB3206" w14:textId="77777777" w:rsidR="004E2DE8" w:rsidRPr="004E2DE8" w:rsidRDefault="004E2DE8" w:rsidP="004E2DE8">
      <w:r w:rsidRPr="004E2DE8">
        <w:t>The GCLP seeks to ensure that growth does not lead to unacceptable environmental or amenity impacts. Unlike allocated developments, the Tritax proposal would result in:</w:t>
      </w:r>
    </w:p>
    <w:p w14:paraId="3D1AFD5A" w14:textId="77777777" w:rsidR="004E2DE8" w:rsidRPr="004E2DE8" w:rsidRDefault="004E2DE8" w:rsidP="004E2DE8">
      <w:pPr>
        <w:numPr>
          <w:ilvl w:val="0"/>
          <w:numId w:val="5"/>
        </w:numPr>
      </w:pPr>
      <w:r w:rsidRPr="004E2DE8">
        <w:t>Significant landscape and visual harm</w:t>
      </w:r>
    </w:p>
    <w:p w14:paraId="4F76321F" w14:textId="77777777" w:rsidR="004E2DE8" w:rsidRPr="004E2DE8" w:rsidRDefault="004E2DE8" w:rsidP="004E2DE8">
      <w:pPr>
        <w:numPr>
          <w:ilvl w:val="0"/>
          <w:numId w:val="5"/>
        </w:numPr>
      </w:pPr>
      <w:r w:rsidRPr="004E2DE8">
        <w:t>Increased noise and air pollution</w:t>
      </w:r>
    </w:p>
    <w:p w14:paraId="046DB398" w14:textId="77777777" w:rsidR="004E2DE8" w:rsidRPr="004E2DE8" w:rsidRDefault="004E2DE8" w:rsidP="004E2DE8">
      <w:pPr>
        <w:numPr>
          <w:ilvl w:val="0"/>
          <w:numId w:val="5"/>
        </w:numPr>
      </w:pPr>
      <w:r w:rsidRPr="004E2DE8">
        <w:t>Light pollution inconsistent with a rural setting</w:t>
      </w:r>
    </w:p>
    <w:p w14:paraId="7F8F8A02" w14:textId="744BDC5E" w:rsidR="004E2DE8" w:rsidRDefault="004E2DE8" w:rsidP="004E2DE8">
      <w:r w:rsidRPr="004E2DE8">
        <w:t xml:space="preserve">These impacts </w:t>
      </w:r>
      <w:r w:rsidR="00AE4A41">
        <w:t xml:space="preserve">on Lolworth </w:t>
      </w:r>
      <w:r w:rsidRPr="004E2DE8">
        <w:t>would be long-term and irreversible and cannot be adequately mitigated through landscaping or design measures.</w:t>
      </w:r>
    </w:p>
    <w:p w14:paraId="40AE6CFB" w14:textId="77777777" w:rsidR="004E2DE8" w:rsidRPr="004E2DE8" w:rsidRDefault="004E2DE8" w:rsidP="004E2DE8">
      <w:pPr>
        <w:rPr>
          <w:b/>
          <w:bCs/>
        </w:rPr>
      </w:pPr>
      <w:r w:rsidRPr="004E2DE8">
        <w:rPr>
          <w:b/>
          <w:bCs/>
        </w:rPr>
        <w:t>7. Undermining Confidence in the Plan-Led System</w:t>
      </w:r>
    </w:p>
    <w:p w14:paraId="7E97B591" w14:textId="77777777" w:rsidR="004E2DE8" w:rsidRPr="004E2DE8" w:rsidRDefault="004E2DE8" w:rsidP="004E2DE8">
      <w:r w:rsidRPr="004E2DE8">
        <w:t>Permitting a development of this scale outside the GCLP framework would set a damaging precedent. It would signal that speculative proposals can bypass the rigorous evidence-based allocation process, weakening public confidence in local planning and undermining communities that have engaged constructively with planned growth.</w:t>
      </w:r>
    </w:p>
    <w:p w14:paraId="1D1D7A75" w14:textId="77777777" w:rsidR="004E2DE8" w:rsidRPr="004E2DE8" w:rsidRDefault="004E2DE8" w:rsidP="004E2DE8">
      <w:r w:rsidRPr="004E2DE8">
        <w:t>Lolworth has accepted and supports development where it is properly planned, justified, and allocated. The Tritax proposal does not meet these tests.</w:t>
      </w:r>
    </w:p>
    <w:p w14:paraId="0EEF9ADF" w14:textId="77777777" w:rsidR="004E2DE8" w:rsidRPr="004E2DE8" w:rsidRDefault="00E95938" w:rsidP="004E2DE8">
      <w:r>
        <w:rPr>
          <w:noProof/>
        </w:rPr>
        <w:pict w14:anchorId="4AFBE6C7">
          <v:rect id="_x0000_i1025" alt="" style="width:451.3pt;height:.05pt;mso-width-percent:0;mso-height-percent:0;mso-width-percent:0;mso-height-percent:0" o:hralign="center" o:hrstd="t" o:hr="t" fillcolor="#a0a0a0" stroked="f"/>
        </w:pict>
      </w:r>
    </w:p>
    <w:p w14:paraId="1915119D" w14:textId="77777777" w:rsidR="004E2DE8" w:rsidRPr="004E2DE8" w:rsidRDefault="004E2DE8" w:rsidP="004E2DE8">
      <w:pPr>
        <w:rPr>
          <w:b/>
          <w:bCs/>
        </w:rPr>
      </w:pPr>
      <w:r w:rsidRPr="004E2DE8">
        <w:rPr>
          <w:b/>
          <w:bCs/>
        </w:rPr>
        <w:t>Conclusion</w:t>
      </w:r>
    </w:p>
    <w:p w14:paraId="58517B24" w14:textId="77777777" w:rsidR="004E2DE8" w:rsidRPr="004E2DE8" w:rsidRDefault="004E2DE8" w:rsidP="004E2DE8">
      <w:r w:rsidRPr="004E2DE8">
        <w:t xml:space="preserve">Lolworth supports development that is </w:t>
      </w:r>
      <w:r w:rsidRPr="004E2DE8">
        <w:rPr>
          <w:b/>
          <w:bCs/>
        </w:rPr>
        <w:t>planned, allocated, and policy-compliant under the GCLP</w:t>
      </w:r>
      <w:r w:rsidRPr="004E2DE8">
        <w:t xml:space="preserve">. However, the Tritax proposal represents an </w:t>
      </w:r>
      <w:r w:rsidRPr="004E2DE8">
        <w:rPr>
          <w:b/>
          <w:bCs/>
        </w:rPr>
        <w:t>unallocated, disproportionate, and inappropriate form of development</w:t>
      </w:r>
      <w:r w:rsidRPr="004E2DE8">
        <w:t xml:space="preserve"> that conflicts with the Local Plan’s spatial strategy, harms the rural character of the area, and places unacceptable pressure on infrastructure and residential amenity.</w:t>
      </w:r>
    </w:p>
    <w:p w14:paraId="48EDFC61" w14:textId="23C2B968" w:rsidR="004E2DE8" w:rsidRDefault="006677C2" w:rsidP="004E2DE8">
      <w:r>
        <w:t>While</w:t>
      </w:r>
      <w:r w:rsidR="004E2DE8" w:rsidRPr="004E2DE8">
        <w:t xml:space="preserve"> Lolworth supports GCLP-allocated growth, the Tritax development should not be permitted</w:t>
      </w:r>
      <w:r w:rsidR="000153DE">
        <w:t xml:space="preserve"> on the basis</w:t>
      </w:r>
      <w:r>
        <w:t xml:space="preserve"> of the above reasons and also</w:t>
      </w:r>
      <w:r w:rsidR="000153DE">
        <w:t xml:space="preserve"> that it will exceed the GCLP </w:t>
      </w:r>
      <w:r w:rsidR="00B1707D">
        <w:t>required</w:t>
      </w:r>
      <w:r w:rsidR="000153DE">
        <w:t xml:space="preserve"> capacity and </w:t>
      </w:r>
      <w:r w:rsidR="00082A6E">
        <w:t xml:space="preserve">is </w:t>
      </w:r>
      <w:r w:rsidR="000153DE">
        <w:t>there</w:t>
      </w:r>
      <w:r w:rsidR="00B1707D">
        <w:t>fore not needed</w:t>
      </w:r>
      <w:r w:rsidR="004E2DE8" w:rsidRPr="004E2DE8">
        <w:t>.</w:t>
      </w:r>
    </w:p>
    <w:p w14:paraId="2AFBD0EF" w14:textId="5A434A44" w:rsidR="00035953" w:rsidRPr="004E2DE8" w:rsidRDefault="00035953" w:rsidP="004E2DE8">
      <w:r>
        <w:t>For clarification Lolworth also supports the separate submission made or to be made by the A14 Logistics Forum.</w:t>
      </w:r>
    </w:p>
    <w:p w14:paraId="7FCD7B29" w14:textId="77777777" w:rsidR="00694218" w:rsidRDefault="00694218"/>
    <w:sectPr w:rsidR="006942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C49F" w14:textId="77777777" w:rsidR="00E95938" w:rsidRDefault="00E95938">
      <w:pPr>
        <w:spacing w:after="0" w:line="240" w:lineRule="auto"/>
      </w:pPr>
      <w:r>
        <w:separator/>
      </w:r>
    </w:p>
  </w:endnote>
  <w:endnote w:type="continuationSeparator" w:id="0">
    <w:p w14:paraId="6453D13B" w14:textId="77777777" w:rsidR="00E95938" w:rsidRDefault="00E9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68A" w14:textId="436F23A4" w:rsidR="1D428702" w:rsidRDefault="1D428702" w:rsidP="1D428702">
    <w:pPr>
      <w:pStyle w:val="Footer"/>
    </w:pPr>
    <w:r>
      <w:t xml:space="preserve">Issue 1.0 </w:t>
    </w:r>
    <w:r>
      <w:tab/>
      <w:t>Date: 14/01/26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B598" w14:textId="77777777" w:rsidR="00E95938" w:rsidRDefault="00E95938">
      <w:pPr>
        <w:spacing w:after="0" w:line="240" w:lineRule="auto"/>
      </w:pPr>
      <w:r>
        <w:separator/>
      </w:r>
    </w:p>
  </w:footnote>
  <w:footnote w:type="continuationSeparator" w:id="0">
    <w:p w14:paraId="614BA2AC" w14:textId="77777777" w:rsidR="00E95938" w:rsidRDefault="00E95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4F"/>
    <w:multiLevelType w:val="multilevel"/>
    <w:tmpl w:val="F8A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A32"/>
    <w:multiLevelType w:val="multilevel"/>
    <w:tmpl w:val="F68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91945"/>
    <w:multiLevelType w:val="multilevel"/>
    <w:tmpl w:val="58A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3625B"/>
    <w:multiLevelType w:val="multilevel"/>
    <w:tmpl w:val="11EC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5395D"/>
    <w:multiLevelType w:val="multilevel"/>
    <w:tmpl w:val="D26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867801">
    <w:abstractNumId w:val="2"/>
  </w:num>
  <w:num w:numId="2" w16cid:durableId="1461344244">
    <w:abstractNumId w:val="3"/>
  </w:num>
  <w:num w:numId="3" w16cid:durableId="1185241392">
    <w:abstractNumId w:val="0"/>
  </w:num>
  <w:num w:numId="4" w16cid:durableId="1373309541">
    <w:abstractNumId w:val="4"/>
  </w:num>
  <w:num w:numId="5" w16cid:durableId="1331834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E8"/>
    <w:rsid w:val="000017D1"/>
    <w:rsid w:val="000153DE"/>
    <w:rsid w:val="00035953"/>
    <w:rsid w:val="00056779"/>
    <w:rsid w:val="00082A6E"/>
    <w:rsid w:val="001B5564"/>
    <w:rsid w:val="00214916"/>
    <w:rsid w:val="0025412D"/>
    <w:rsid w:val="0035746E"/>
    <w:rsid w:val="004E2DE8"/>
    <w:rsid w:val="004F36CB"/>
    <w:rsid w:val="005F7B9B"/>
    <w:rsid w:val="006677C2"/>
    <w:rsid w:val="00694218"/>
    <w:rsid w:val="006E01AC"/>
    <w:rsid w:val="0078617D"/>
    <w:rsid w:val="00790193"/>
    <w:rsid w:val="00795D91"/>
    <w:rsid w:val="0096112E"/>
    <w:rsid w:val="0096601B"/>
    <w:rsid w:val="00AE4A41"/>
    <w:rsid w:val="00B1707D"/>
    <w:rsid w:val="00B17708"/>
    <w:rsid w:val="00B93809"/>
    <w:rsid w:val="00BB3CBE"/>
    <w:rsid w:val="00CF35BD"/>
    <w:rsid w:val="00D37BE2"/>
    <w:rsid w:val="00D878E3"/>
    <w:rsid w:val="00DE70BF"/>
    <w:rsid w:val="00E14B93"/>
    <w:rsid w:val="00E34EBD"/>
    <w:rsid w:val="00E95938"/>
    <w:rsid w:val="00ED0765"/>
    <w:rsid w:val="00FA05A5"/>
    <w:rsid w:val="00FB3FC3"/>
    <w:rsid w:val="0C400D8B"/>
    <w:rsid w:val="1D428702"/>
    <w:rsid w:val="378238D3"/>
    <w:rsid w:val="3EA66103"/>
    <w:rsid w:val="41AC7343"/>
    <w:rsid w:val="60993ABE"/>
    <w:rsid w:val="7B345A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8F49"/>
  <w15:chartTrackingRefBased/>
  <w15:docId w15:val="{48224CCB-25B8-4953-9FFC-3079465A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E8"/>
    <w:rPr>
      <w:rFonts w:eastAsiaTheme="majorEastAsia" w:cstheme="majorBidi"/>
      <w:color w:val="272727" w:themeColor="text1" w:themeTint="D8"/>
    </w:rPr>
  </w:style>
  <w:style w:type="paragraph" w:styleId="Title">
    <w:name w:val="Title"/>
    <w:basedOn w:val="Normal"/>
    <w:next w:val="Normal"/>
    <w:link w:val="TitleChar"/>
    <w:uiPriority w:val="10"/>
    <w:qFormat/>
    <w:rsid w:val="004E2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E8"/>
    <w:pPr>
      <w:spacing w:before="160"/>
      <w:jc w:val="center"/>
    </w:pPr>
    <w:rPr>
      <w:i/>
      <w:iCs/>
      <w:color w:val="404040" w:themeColor="text1" w:themeTint="BF"/>
    </w:rPr>
  </w:style>
  <w:style w:type="character" w:customStyle="1" w:styleId="QuoteChar">
    <w:name w:val="Quote Char"/>
    <w:basedOn w:val="DefaultParagraphFont"/>
    <w:link w:val="Quote"/>
    <w:uiPriority w:val="29"/>
    <w:rsid w:val="004E2DE8"/>
    <w:rPr>
      <w:i/>
      <w:iCs/>
      <w:color w:val="404040" w:themeColor="text1" w:themeTint="BF"/>
    </w:rPr>
  </w:style>
  <w:style w:type="paragraph" w:styleId="ListParagraph">
    <w:name w:val="List Paragraph"/>
    <w:basedOn w:val="Normal"/>
    <w:uiPriority w:val="34"/>
    <w:qFormat/>
    <w:rsid w:val="004E2DE8"/>
    <w:pPr>
      <w:ind w:left="720"/>
      <w:contextualSpacing/>
    </w:pPr>
  </w:style>
  <w:style w:type="character" w:styleId="IntenseEmphasis">
    <w:name w:val="Intense Emphasis"/>
    <w:basedOn w:val="DefaultParagraphFont"/>
    <w:uiPriority w:val="21"/>
    <w:qFormat/>
    <w:rsid w:val="004E2DE8"/>
    <w:rPr>
      <w:i/>
      <w:iCs/>
      <w:color w:val="0F4761" w:themeColor="accent1" w:themeShade="BF"/>
    </w:rPr>
  </w:style>
  <w:style w:type="paragraph" w:styleId="IntenseQuote">
    <w:name w:val="Intense Quote"/>
    <w:basedOn w:val="Normal"/>
    <w:next w:val="Normal"/>
    <w:link w:val="IntenseQuoteChar"/>
    <w:uiPriority w:val="30"/>
    <w:qFormat/>
    <w:rsid w:val="004E2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E8"/>
    <w:rPr>
      <w:i/>
      <w:iCs/>
      <w:color w:val="0F4761" w:themeColor="accent1" w:themeShade="BF"/>
    </w:rPr>
  </w:style>
  <w:style w:type="character" w:styleId="IntenseReference">
    <w:name w:val="Intense Reference"/>
    <w:basedOn w:val="DefaultParagraphFont"/>
    <w:uiPriority w:val="32"/>
    <w:qFormat/>
    <w:rsid w:val="004E2DE8"/>
    <w:rPr>
      <w:b/>
      <w:bCs/>
      <w:smallCaps/>
      <w:color w:val="0F4761" w:themeColor="accent1" w:themeShade="BF"/>
      <w:spacing w:val="5"/>
    </w:rPr>
  </w:style>
  <w:style w:type="paragraph" w:styleId="Header">
    <w:name w:val="header"/>
    <w:basedOn w:val="Normal"/>
    <w:uiPriority w:val="99"/>
    <w:unhideWhenUsed/>
    <w:rsid w:val="1D428702"/>
    <w:pPr>
      <w:tabs>
        <w:tab w:val="center" w:pos="4680"/>
        <w:tab w:val="right" w:pos="9360"/>
      </w:tabs>
      <w:spacing w:after="0" w:line="240" w:lineRule="auto"/>
    </w:pPr>
  </w:style>
  <w:style w:type="paragraph" w:styleId="Footer">
    <w:name w:val="footer"/>
    <w:basedOn w:val="Normal"/>
    <w:uiPriority w:val="99"/>
    <w:unhideWhenUsed/>
    <w:rsid w:val="1D42870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4838</Characters>
  <Application>Microsoft Office Word</Application>
  <DocSecurity>0</DocSecurity>
  <Lines>93</Lines>
  <Paragraphs>53</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Bavalia</dc:creator>
  <cp:keywords/>
  <dc:description/>
  <cp:lastModifiedBy>debbielowther@icloud.com</cp:lastModifiedBy>
  <cp:revision>3</cp:revision>
  <dcterms:created xsi:type="dcterms:W3CDTF">2026-01-21T16:48:00Z</dcterms:created>
  <dcterms:modified xsi:type="dcterms:W3CDTF">2026-01-21T16:50:00Z</dcterms:modified>
</cp:coreProperties>
</file>