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EEE7" w14:textId="5EA50FCE" w:rsidR="00F47F0C" w:rsidRPr="00707E07" w:rsidRDefault="00B06595" w:rsidP="009700E8">
      <w:pPr>
        <w:pStyle w:val="Title"/>
        <w:rPr>
          <w:color w:val="auto"/>
        </w:rPr>
      </w:pPr>
      <w:bookmarkStart w:id="0" w:name="TemplateTitle"/>
      <w:r>
        <w:rPr>
          <w:color w:val="auto"/>
        </w:rPr>
        <w:t>BNG Feasibility Assessment</w:t>
      </w:r>
      <w:r w:rsidR="00B30BC4">
        <w:rPr>
          <w:color w:val="auto"/>
        </w:rPr>
        <w:t xml:space="preserve">, </w:t>
      </w:r>
      <w:r w:rsidR="0032701F">
        <w:rPr>
          <w:color w:val="auto"/>
        </w:rPr>
        <w:t>Technical Note</w:t>
      </w:r>
      <w:bookmarkEnd w:id="0"/>
      <w:r w:rsidR="00D80A06" w:rsidRPr="00707E07">
        <w:rPr>
          <w:color w:val="auto"/>
        </w:rPr>
        <w:t>.</w:t>
      </w:r>
    </w:p>
    <w:p w14:paraId="3E70FDF1" w14:textId="77777777" w:rsidR="009700E8" w:rsidRDefault="009700E8" w:rsidP="009700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30"/>
        <w:gridCol w:w="6798"/>
      </w:tblGrid>
      <w:tr w:rsidR="00BF70C9" w14:paraId="0DB18615" w14:textId="77777777" w:rsidTr="00BF70C9">
        <w:trPr>
          <w:trHeight w:val="340"/>
        </w:trPr>
        <w:tc>
          <w:tcPr>
            <w:tcW w:w="2830" w:type="dxa"/>
          </w:tcPr>
          <w:p w14:paraId="0FCAE14B" w14:textId="77777777" w:rsidR="00BF70C9" w:rsidRPr="00BF70C9" w:rsidRDefault="00BF70C9" w:rsidP="00BF70C9">
            <w:pPr>
              <w:spacing w:before="100" w:beforeAutospacing="1" w:after="100" w:afterAutospacing="1"/>
              <w:rPr>
                <w:rStyle w:val="Strong"/>
                <w:b w:val="0"/>
                <w:bCs w:val="0"/>
              </w:rPr>
            </w:pPr>
            <w:r w:rsidRPr="00BF70C9">
              <w:rPr>
                <w:rStyle w:val="Strong"/>
                <w:bCs w:val="0"/>
              </w:rPr>
              <w:t>Project name:</w:t>
            </w:r>
          </w:p>
        </w:tc>
        <w:tc>
          <w:tcPr>
            <w:tcW w:w="6798" w:type="dxa"/>
          </w:tcPr>
          <w:p w14:paraId="7531AC72" w14:textId="018F7866" w:rsidR="00BF70C9" w:rsidRPr="00BF70C9" w:rsidRDefault="008913E8" w:rsidP="00BF70C9">
            <w:pPr>
              <w:spacing w:before="100" w:beforeAutospacing="1" w:after="100" w:afterAutospacing="1"/>
              <w:rPr>
                <w:rStyle w:val="Strong"/>
              </w:rPr>
            </w:pPr>
            <w:r>
              <w:rPr>
                <w:rStyle w:val="Strong"/>
              </w:rPr>
              <w:t xml:space="preserve">Orwell, </w:t>
            </w:r>
            <w:r w:rsidR="0017503A">
              <w:rPr>
                <w:rStyle w:val="Strong"/>
              </w:rPr>
              <w:t>Cambridgeshire</w:t>
            </w:r>
          </w:p>
        </w:tc>
      </w:tr>
      <w:tr w:rsidR="00BF70C9" w14:paraId="3400AE5A" w14:textId="77777777" w:rsidTr="00BF70C9">
        <w:trPr>
          <w:trHeight w:val="340"/>
        </w:trPr>
        <w:tc>
          <w:tcPr>
            <w:tcW w:w="2830" w:type="dxa"/>
          </w:tcPr>
          <w:p w14:paraId="6E71800F" w14:textId="77777777" w:rsidR="00BF70C9" w:rsidRPr="00BF70C9" w:rsidRDefault="00BF70C9" w:rsidP="00BF70C9">
            <w:pPr>
              <w:spacing w:before="100" w:beforeAutospacing="1" w:after="100" w:afterAutospacing="1"/>
              <w:rPr>
                <w:rStyle w:val="Strong"/>
                <w:bCs w:val="0"/>
              </w:rPr>
            </w:pPr>
            <w:r w:rsidRPr="00BF70C9">
              <w:rPr>
                <w:rStyle w:val="Strong"/>
                <w:bCs w:val="0"/>
              </w:rPr>
              <w:t>Author:</w:t>
            </w:r>
          </w:p>
        </w:tc>
        <w:tc>
          <w:tcPr>
            <w:tcW w:w="6798" w:type="dxa"/>
          </w:tcPr>
          <w:p w14:paraId="134AB4A4" w14:textId="20F5A9F6" w:rsidR="00BF70C9" w:rsidRPr="0017503A" w:rsidRDefault="0017503A" w:rsidP="00BF70C9">
            <w:pPr>
              <w:spacing w:before="100" w:beforeAutospacing="1" w:after="100" w:afterAutospacing="1"/>
              <w:rPr>
                <w:rStyle w:val="Strong"/>
                <w:b w:val="0"/>
              </w:rPr>
            </w:pPr>
            <w:bookmarkStart w:id="1" w:name="Author"/>
            <w:r w:rsidRPr="0017503A">
              <w:rPr>
                <w:rStyle w:val="Strong"/>
                <w:b w:val="0"/>
              </w:rPr>
              <w:t>Gary Lindsay</w:t>
            </w:r>
            <w:bookmarkEnd w:id="1"/>
          </w:p>
        </w:tc>
      </w:tr>
      <w:tr w:rsidR="0033383A" w14:paraId="72F553B7" w14:textId="77777777" w:rsidTr="00BF70C9">
        <w:trPr>
          <w:trHeight w:val="340"/>
        </w:trPr>
        <w:tc>
          <w:tcPr>
            <w:tcW w:w="2830" w:type="dxa"/>
          </w:tcPr>
          <w:p w14:paraId="47593C83" w14:textId="6DB7E42F" w:rsidR="0033383A" w:rsidRPr="00BF70C9" w:rsidRDefault="0033383A" w:rsidP="00BF70C9">
            <w:pPr>
              <w:spacing w:before="100" w:beforeAutospacing="1" w:after="100" w:afterAutospacing="1"/>
              <w:rPr>
                <w:rStyle w:val="Strong"/>
                <w:bCs w:val="0"/>
              </w:rPr>
            </w:pPr>
            <w:r>
              <w:rPr>
                <w:rStyle w:val="Strong"/>
                <w:bCs w:val="0"/>
              </w:rPr>
              <w:t>R</w:t>
            </w:r>
            <w:r>
              <w:rPr>
                <w:rStyle w:val="Strong"/>
              </w:rPr>
              <w:t>eviewer:</w:t>
            </w:r>
          </w:p>
        </w:tc>
        <w:tc>
          <w:tcPr>
            <w:tcW w:w="6798" w:type="dxa"/>
          </w:tcPr>
          <w:p w14:paraId="45734A47" w14:textId="095780E1" w:rsidR="0033383A" w:rsidRPr="0033383A" w:rsidRDefault="0033383A" w:rsidP="00BF70C9">
            <w:pPr>
              <w:spacing w:before="100" w:beforeAutospacing="1" w:after="100" w:afterAutospacing="1"/>
              <w:rPr>
                <w:rStyle w:val="Strong"/>
                <w:b w:val="0"/>
                <w:color w:val="FF0000"/>
              </w:rPr>
            </w:pPr>
          </w:p>
        </w:tc>
      </w:tr>
      <w:tr w:rsidR="00BF70C9" w14:paraId="157B4BCC" w14:textId="77777777" w:rsidTr="00BF70C9">
        <w:trPr>
          <w:trHeight w:val="340"/>
        </w:trPr>
        <w:tc>
          <w:tcPr>
            <w:tcW w:w="2830" w:type="dxa"/>
          </w:tcPr>
          <w:p w14:paraId="192D8412" w14:textId="77777777" w:rsidR="00BF70C9" w:rsidRPr="00BF70C9" w:rsidRDefault="00BF70C9" w:rsidP="00BF70C9">
            <w:pPr>
              <w:spacing w:before="100" w:beforeAutospacing="1" w:after="100" w:afterAutospacing="1"/>
              <w:rPr>
                <w:rStyle w:val="Strong"/>
                <w:bCs w:val="0"/>
              </w:rPr>
            </w:pPr>
            <w:r w:rsidRPr="00BF70C9">
              <w:rPr>
                <w:rStyle w:val="Strong"/>
                <w:bCs w:val="0"/>
              </w:rPr>
              <w:t>Date</w:t>
            </w:r>
            <w:r w:rsidR="00DE2EE4">
              <w:rPr>
                <w:rStyle w:val="Strong"/>
                <w:bCs w:val="0"/>
              </w:rPr>
              <w:t>:</w:t>
            </w:r>
          </w:p>
        </w:tc>
        <w:tc>
          <w:tcPr>
            <w:tcW w:w="6798" w:type="dxa"/>
          </w:tcPr>
          <w:p w14:paraId="0230640F" w14:textId="15F7381A" w:rsidR="00BF70C9" w:rsidRPr="007652BC" w:rsidRDefault="00610FE0" w:rsidP="00BF70C9">
            <w:pPr>
              <w:spacing w:before="100" w:beforeAutospacing="1" w:after="100" w:afterAutospacing="1"/>
              <w:rPr>
                <w:rStyle w:val="Strong"/>
                <w:b w:val="0"/>
              </w:rPr>
            </w:pPr>
            <w:bookmarkStart w:id="2" w:name="Date"/>
            <w:r>
              <w:rPr>
                <w:rStyle w:val="Strong"/>
                <w:b w:val="0"/>
              </w:rPr>
              <w:t>9</w:t>
            </w:r>
            <w:r w:rsidR="007652BC" w:rsidRPr="007652BC">
              <w:rPr>
                <w:rStyle w:val="Strong"/>
                <w:b w:val="0"/>
              </w:rPr>
              <w:t xml:space="preserve"> January </w:t>
            </w:r>
            <w:r w:rsidR="0032701F" w:rsidRPr="007652BC">
              <w:rPr>
                <w:rStyle w:val="Strong"/>
                <w:b w:val="0"/>
              </w:rPr>
              <w:t>2025</w:t>
            </w:r>
            <w:bookmarkEnd w:id="2"/>
          </w:p>
        </w:tc>
      </w:tr>
      <w:tr w:rsidR="00BF70C9" w14:paraId="7C289BB4" w14:textId="77777777" w:rsidTr="00BF70C9">
        <w:trPr>
          <w:trHeight w:val="340"/>
        </w:trPr>
        <w:tc>
          <w:tcPr>
            <w:tcW w:w="2830" w:type="dxa"/>
          </w:tcPr>
          <w:p w14:paraId="36179B5E" w14:textId="77777777" w:rsidR="00BF70C9" w:rsidRPr="00BF70C9" w:rsidRDefault="00BF70C9" w:rsidP="00BF70C9">
            <w:pPr>
              <w:spacing w:before="100" w:beforeAutospacing="1" w:after="100" w:afterAutospacing="1"/>
              <w:rPr>
                <w:rStyle w:val="Strong"/>
                <w:bCs w:val="0"/>
              </w:rPr>
            </w:pPr>
            <w:r w:rsidRPr="00BF70C9">
              <w:rPr>
                <w:rStyle w:val="Strong"/>
                <w:bCs w:val="0"/>
              </w:rPr>
              <w:t>Project number:</w:t>
            </w:r>
          </w:p>
        </w:tc>
        <w:tc>
          <w:tcPr>
            <w:tcW w:w="6798" w:type="dxa"/>
          </w:tcPr>
          <w:p w14:paraId="42B02FDA" w14:textId="126B891B" w:rsidR="00BF70C9" w:rsidRPr="00BF70C9" w:rsidRDefault="0032701F" w:rsidP="00BF70C9">
            <w:pPr>
              <w:spacing w:before="100" w:beforeAutospacing="1" w:after="100" w:afterAutospacing="1"/>
              <w:rPr>
                <w:rStyle w:val="Strong"/>
                <w:b w:val="0"/>
              </w:rPr>
            </w:pPr>
            <w:bookmarkStart w:id="3" w:name="JobNumber"/>
            <w:r>
              <w:rPr>
                <w:rStyle w:val="Strong"/>
                <w:b w:val="0"/>
              </w:rPr>
              <w:t>P25-</w:t>
            </w:r>
            <w:bookmarkEnd w:id="3"/>
            <w:r w:rsidR="00DE43F2" w:rsidRPr="00E43B43">
              <w:rPr>
                <w:rStyle w:val="Strong"/>
                <w:b w:val="0"/>
              </w:rPr>
              <w:t>2</w:t>
            </w:r>
            <w:r w:rsidR="00E43B43" w:rsidRPr="00E43B43">
              <w:rPr>
                <w:rStyle w:val="Strong"/>
                <w:b w:val="0"/>
              </w:rPr>
              <w:t>504</w:t>
            </w:r>
          </w:p>
        </w:tc>
      </w:tr>
      <w:tr w:rsidR="00BF70C9" w14:paraId="56C87595" w14:textId="77777777" w:rsidTr="00BF70C9">
        <w:trPr>
          <w:trHeight w:val="340"/>
        </w:trPr>
        <w:tc>
          <w:tcPr>
            <w:tcW w:w="2830" w:type="dxa"/>
          </w:tcPr>
          <w:p w14:paraId="3CEA3C9B" w14:textId="77777777" w:rsidR="00BF70C9" w:rsidRPr="00BF70C9" w:rsidRDefault="00BF70C9" w:rsidP="00BF70C9">
            <w:pPr>
              <w:spacing w:before="100" w:beforeAutospacing="1" w:after="100" w:afterAutospacing="1"/>
              <w:rPr>
                <w:rStyle w:val="Strong"/>
                <w:bCs w:val="0"/>
              </w:rPr>
            </w:pPr>
            <w:r w:rsidRPr="00BF70C9">
              <w:rPr>
                <w:rStyle w:val="Strong"/>
                <w:bCs w:val="0"/>
              </w:rPr>
              <w:t>Reference:</w:t>
            </w:r>
          </w:p>
        </w:tc>
        <w:tc>
          <w:tcPr>
            <w:tcW w:w="6798" w:type="dxa"/>
          </w:tcPr>
          <w:p w14:paraId="0123D5A9" w14:textId="56CD9A08" w:rsidR="00BF70C9" w:rsidRPr="000F3F49" w:rsidRDefault="00DE43F2" w:rsidP="00BF70C9">
            <w:pPr>
              <w:spacing w:before="100" w:beforeAutospacing="1" w:after="100" w:afterAutospacing="1"/>
              <w:rPr>
                <w:rStyle w:val="Strong"/>
                <w:b w:val="0"/>
              </w:rPr>
            </w:pPr>
            <w:bookmarkStart w:id="4" w:name="Reference"/>
            <w:bookmarkEnd w:id="4"/>
            <w:r>
              <w:rPr>
                <w:rStyle w:val="Strong"/>
                <w:b w:val="0"/>
              </w:rPr>
              <w:t>Ecology</w:t>
            </w:r>
            <w:r w:rsidR="0032701F" w:rsidRPr="000F3F49">
              <w:rPr>
                <w:rStyle w:val="Strong"/>
                <w:b w:val="0"/>
              </w:rPr>
              <w:t xml:space="preserve"> Summary</w:t>
            </w:r>
          </w:p>
        </w:tc>
      </w:tr>
    </w:tbl>
    <w:p w14:paraId="6353B004" w14:textId="77777777" w:rsidR="009700E8" w:rsidRDefault="009700E8" w:rsidP="009700E8">
      <w:r>
        <w:rPr>
          <w:noProof/>
        </w:rPr>
        <mc:AlternateContent>
          <mc:Choice Requires="wps">
            <w:drawing>
              <wp:inline distT="0" distB="0" distL="0" distR="0" wp14:anchorId="074F9C47" wp14:editId="142B128F">
                <wp:extent cx="6086475" cy="0"/>
                <wp:effectExtent l="0" t="0" r="0" b="0"/>
                <wp:docPr id="1"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4483F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" strokecolor="black [3213]" strokeweight=".5pt">
                <v:stroke joinstyle="miter"/>
                <w10:anchorlock/>
              </v:line>
            </w:pict>
          </mc:Fallback>
        </mc:AlternateContent>
      </w:r>
    </w:p>
    <w:p w14:paraId="6C44B354" w14:textId="218BB0BE" w:rsidR="00B30BC4" w:rsidRPr="00260D00" w:rsidRDefault="002D2184" w:rsidP="002D2184">
      <w:pPr>
        <w:pStyle w:val="Heading1"/>
      </w:pPr>
      <w:bookmarkStart w:id="5" w:name="Start"/>
      <w:bookmarkEnd w:id="5"/>
      <w:r>
        <w:t>Introduction</w:t>
      </w:r>
    </w:p>
    <w:p w14:paraId="751D9F6F" w14:textId="7D5C3C9B" w:rsidR="00DE43F2" w:rsidRDefault="00DE43F2" w:rsidP="00DE43F2">
      <w:r>
        <w:t xml:space="preserve">Pegasus Group was </w:t>
      </w:r>
      <w:r w:rsidRPr="009206BC">
        <w:t xml:space="preserve">commissioned by </w:t>
      </w:r>
      <w:r w:rsidR="008D427E" w:rsidRPr="009206BC">
        <w:t>Pegasus Group</w:t>
      </w:r>
      <w:r w:rsidRPr="009206BC">
        <w:t xml:space="preserve"> to undertake a</w:t>
      </w:r>
      <w:r w:rsidR="00B56856" w:rsidRPr="009206BC">
        <w:t xml:space="preserve"> </w:t>
      </w:r>
      <w:r w:rsidRPr="009206BC">
        <w:t>UK Habitat (</w:t>
      </w:r>
      <w:proofErr w:type="spellStart"/>
      <w:r w:rsidRPr="009206BC">
        <w:t>UKHab</w:t>
      </w:r>
      <w:proofErr w:type="spellEnd"/>
      <w:r w:rsidRPr="009206BC">
        <w:t xml:space="preserve">) Survey and Biodiversity Net Gain (BNG) </w:t>
      </w:r>
      <w:r w:rsidR="00060825" w:rsidRPr="009206BC">
        <w:t xml:space="preserve">feasibility </w:t>
      </w:r>
      <w:r w:rsidRPr="009206BC">
        <w:t xml:space="preserve">assessment at </w:t>
      </w:r>
      <w:r w:rsidR="00B0474C" w:rsidRPr="009206BC">
        <w:t xml:space="preserve">land near </w:t>
      </w:r>
      <w:r w:rsidR="001A1A0C" w:rsidRPr="009206BC">
        <w:t>Orwel</w:t>
      </w:r>
      <w:r w:rsidR="00B0474C" w:rsidRPr="009206BC">
        <w:t xml:space="preserve">l </w:t>
      </w:r>
      <w:r w:rsidR="00293CF0" w:rsidRPr="009206BC">
        <w:t xml:space="preserve">in </w:t>
      </w:r>
      <w:r w:rsidR="00B0474C" w:rsidRPr="009206BC">
        <w:t>Cambridgeshire</w:t>
      </w:r>
      <w:r w:rsidRPr="009206BC">
        <w:t xml:space="preserve"> (hereafter referred to as 'the Site').</w:t>
      </w:r>
      <w:r w:rsidR="009206BC">
        <w:t xml:space="preserve"> The Site boundary is shown on </w:t>
      </w:r>
      <w:r w:rsidR="009206BC">
        <w:rPr>
          <w:b/>
          <w:bCs/>
        </w:rPr>
        <w:t>F</w:t>
      </w:r>
      <w:r w:rsidR="009206BC" w:rsidRPr="009206BC">
        <w:rPr>
          <w:b/>
          <w:bCs/>
        </w:rPr>
        <w:t>igure 1</w:t>
      </w:r>
      <w:r w:rsidR="009206BC">
        <w:t>.</w:t>
      </w:r>
      <w:r w:rsidR="00A400E7">
        <w:t xml:space="preserve"> This technical Note</w:t>
      </w:r>
      <w:r w:rsidR="00413A11">
        <w:t xml:space="preserve"> should be read in conjunction with the accompanying baseline BNG metric Statutory Metric</w:t>
      </w:r>
      <w:r w:rsidR="00A400E7">
        <w:t xml:space="preserve"> ‘</w:t>
      </w:r>
      <w:r w:rsidR="00A400E7" w:rsidRPr="00424C10">
        <w:rPr>
          <w:b/>
          <w:bCs/>
        </w:rPr>
        <w:t>Statutory</w:t>
      </w:r>
      <w:r w:rsidR="00424C10" w:rsidRPr="00424C10">
        <w:rPr>
          <w:b/>
          <w:bCs/>
        </w:rPr>
        <w:t xml:space="preserve"> Metric – Orwell</w:t>
      </w:r>
      <w:r w:rsidR="00424C10">
        <w:t>’</w:t>
      </w:r>
      <w:r w:rsidR="00413A11">
        <w:t>.</w:t>
      </w:r>
    </w:p>
    <w:p w14:paraId="42F07D72" w14:textId="7A31AB33" w:rsidR="001D241A" w:rsidRPr="00260D00" w:rsidRDefault="001D241A" w:rsidP="00DE43F2">
      <w:pPr>
        <w:rPr>
          <w:b/>
          <w:bCs/>
        </w:rPr>
      </w:pPr>
      <w:r w:rsidRPr="00260D00">
        <w:rPr>
          <w:b/>
          <w:bCs/>
        </w:rPr>
        <w:t>Limitations</w:t>
      </w:r>
    </w:p>
    <w:p w14:paraId="05F62652" w14:textId="71CF2BF5" w:rsidR="00DE43F2" w:rsidRDefault="00E1064B" w:rsidP="00DE43F2">
      <w:r w:rsidRPr="00E1064B">
        <w:t>Th</w:t>
      </w:r>
      <w:r>
        <w:t>is asse</w:t>
      </w:r>
      <w:r w:rsidRPr="00E1064B">
        <w:t>ssment aims to demonstrate the level of mitigation and enhancement measures</w:t>
      </w:r>
      <w:r w:rsidR="00877520">
        <w:t xml:space="preserve"> </w:t>
      </w:r>
      <w:r w:rsidR="001E6280">
        <w:t>required with regards to BNG</w:t>
      </w:r>
      <w:r w:rsidRPr="00E1064B">
        <w:t xml:space="preserve"> to </w:t>
      </w:r>
      <w:r w:rsidR="003F00C0">
        <w:t xml:space="preserve">deliver statutory </w:t>
      </w:r>
      <w:r w:rsidRPr="00E1064B">
        <w:t xml:space="preserve">BNG </w:t>
      </w:r>
      <w:r w:rsidR="003F00C0">
        <w:t xml:space="preserve">requirements </w:t>
      </w:r>
      <w:r w:rsidRPr="00E1064B">
        <w:t>within the development site.</w:t>
      </w:r>
      <w:r w:rsidR="003F00C0">
        <w:t xml:space="preserve"> </w:t>
      </w:r>
      <w:r w:rsidR="0050520C">
        <w:t>T</w:t>
      </w:r>
      <w:r w:rsidR="0050520C">
        <w:t>his report is not intended to function as a Preliminary Ecological Appraisal (PEA)</w:t>
      </w:r>
      <w:r w:rsidR="0050520C">
        <w:t xml:space="preserve">, it is therefore outside the scope of this report to </w:t>
      </w:r>
      <w:r w:rsidR="003F00C0">
        <w:t>provide detailed information on the presence or likely absence of protected and notable species</w:t>
      </w:r>
      <w:r w:rsidR="00E502E8">
        <w:t>, or search for protected sites in the wider area.</w:t>
      </w:r>
      <w:r w:rsidR="00F61363">
        <w:t xml:space="preserve"> </w:t>
      </w:r>
      <w:r w:rsidR="0000188C">
        <w:t xml:space="preserve">Where </w:t>
      </w:r>
      <w:r w:rsidR="002F298D">
        <w:t xml:space="preserve">evidence of protected species or habitat suitable to </w:t>
      </w:r>
      <w:r w:rsidR="003F344F">
        <w:t xml:space="preserve">support </w:t>
      </w:r>
      <w:r w:rsidR="00343E8F">
        <w:t xml:space="preserve">protected </w:t>
      </w:r>
      <w:r w:rsidR="007A1B3A">
        <w:t>species</w:t>
      </w:r>
      <w:r w:rsidR="00343E8F">
        <w:t xml:space="preserve"> was </w:t>
      </w:r>
      <w:r w:rsidR="00D7387C">
        <w:t xml:space="preserve">incidentally </w:t>
      </w:r>
      <w:r w:rsidR="00343E8F">
        <w:t xml:space="preserve">recorded </w:t>
      </w:r>
      <w:r w:rsidR="001309AB">
        <w:t xml:space="preserve">during </w:t>
      </w:r>
      <w:r w:rsidR="00D7387C">
        <w:t xml:space="preserve">UK Hab </w:t>
      </w:r>
      <w:r w:rsidR="001309AB">
        <w:t xml:space="preserve">field surveys this has been </w:t>
      </w:r>
      <w:r w:rsidR="00D7387C">
        <w:t>discussed</w:t>
      </w:r>
      <w:r w:rsidR="000C0E9A">
        <w:t xml:space="preserve"> under the ‘Protected </w:t>
      </w:r>
      <w:r w:rsidR="00F61363">
        <w:t>Species</w:t>
      </w:r>
      <w:r w:rsidR="000C0E9A">
        <w:t>’ section</w:t>
      </w:r>
      <w:r w:rsidR="00F61363">
        <w:t xml:space="preserve"> to </w:t>
      </w:r>
      <w:r w:rsidR="001309AB">
        <w:t>inform further surveys</w:t>
      </w:r>
      <w:r w:rsidR="00343E8F">
        <w:t xml:space="preserve"> </w:t>
      </w:r>
      <w:r w:rsidR="00F61363">
        <w:t xml:space="preserve">that may be required to support any </w:t>
      </w:r>
      <w:r w:rsidR="00942680">
        <w:t>future development proposals.</w:t>
      </w:r>
    </w:p>
    <w:p w14:paraId="4887A472" w14:textId="2A041CC2" w:rsidR="004B3A6C" w:rsidRDefault="004B3A6C" w:rsidP="00DE43F2">
      <w:r w:rsidRPr="004B3A6C">
        <w:t xml:space="preserve">Botanical surveys were undertaken outside of the optimum survey season; however, sufficient information was collected to accurately classify habitats in accordance with </w:t>
      </w:r>
      <w:proofErr w:type="spellStart"/>
      <w:r w:rsidRPr="004B3A6C">
        <w:t>UKHab</w:t>
      </w:r>
      <w:proofErr w:type="spellEnd"/>
      <w:r w:rsidRPr="004B3A6C">
        <w:t xml:space="preserve"> methodology. The habitats present were readily identifiable based on dominant species and structural characteristics, and this timing is not expected to affect the validity of the findings or the conclusions of this assessment.</w:t>
      </w:r>
    </w:p>
    <w:p w14:paraId="76E47A59" w14:textId="6435FB4A" w:rsidR="0033383A" w:rsidRDefault="0033383A" w:rsidP="00DE43F2">
      <w:pPr>
        <w:rPr>
          <w:b/>
          <w:bCs/>
        </w:rPr>
      </w:pPr>
      <w:r>
        <w:rPr>
          <w:b/>
          <w:bCs/>
        </w:rPr>
        <w:t>Site Description</w:t>
      </w:r>
    </w:p>
    <w:p w14:paraId="1476B2A0" w14:textId="1980F3AC" w:rsidR="00CE0722" w:rsidRPr="00FB4E71" w:rsidRDefault="00BE0479" w:rsidP="0032701F">
      <w:r w:rsidRPr="00FB4E71">
        <w:t xml:space="preserve">The </w:t>
      </w:r>
      <w:r w:rsidR="00FB4E71">
        <w:t>S</w:t>
      </w:r>
      <w:r w:rsidRPr="00FB4E71">
        <w:t xml:space="preserve">ite covers an area of approximately </w:t>
      </w:r>
      <w:r w:rsidR="00391298" w:rsidRPr="00FB4E71">
        <w:t>8.55 ha and is currently in use for agriculture</w:t>
      </w:r>
      <w:r w:rsidR="001A1367" w:rsidRPr="00FB4E71">
        <w:t xml:space="preserve"> with marginal areas of </w:t>
      </w:r>
      <w:r w:rsidR="008447CC" w:rsidRPr="00FB4E71">
        <w:t>high nutrient grassland, hedgerows and trees.</w:t>
      </w:r>
      <w:r w:rsidR="00E20C75" w:rsidRPr="00FB4E71">
        <w:t xml:space="preserve"> The wider landscape is dominated by agricultural use in all directions </w:t>
      </w:r>
      <w:proofErr w:type="gramStart"/>
      <w:r w:rsidR="00E20C75" w:rsidRPr="00FB4E71">
        <w:t>w</w:t>
      </w:r>
      <w:r w:rsidR="0025557D" w:rsidRPr="00FB4E71">
        <w:t xml:space="preserve">ith the </w:t>
      </w:r>
      <w:r w:rsidR="00E20C75" w:rsidRPr="00FB4E71">
        <w:t>except</w:t>
      </w:r>
      <w:r w:rsidR="0025557D" w:rsidRPr="00FB4E71">
        <w:t>ion of</w:t>
      </w:r>
      <w:proofErr w:type="gramEnd"/>
      <w:r w:rsidR="0025557D" w:rsidRPr="00FB4E71">
        <w:t xml:space="preserve"> </w:t>
      </w:r>
      <w:r w:rsidR="00212ED8" w:rsidRPr="00FB4E71">
        <w:t>the village of Orwell which lies immediately northwest of the Site.</w:t>
      </w:r>
    </w:p>
    <w:p w14:paraId="67F46015" w14:textId="3E46538A" w:rsidR="0033383A" w:rsidRDefault="0033383A" w:rsidP="0032701F">
      <w:pPr>
        <w:rPr>
          <w:b/>
          <w:bCs/>
        </w:rPr>
      </w:pPr>
      <w:r>
        <w:rPr>
          <w:b/>
          <w:bCs/>
        </w:rPr>
        <w:t>Proposed Development</w:t>
      </w:r>
    </w:p>
    <w:p w14:paraId="176A0A96" w14:textId="2C578246" w:rsidR="00A24EE9" w:rsidRPr="00D00E5E" w:rsidRDefault="00A24EE9" w:rsidP="00A24EE9">
      <w:pPr>
        <w:rPr>
          <w:b/>
          <w:bCs/>
        </w:rPr>
      </w:pPr>
      <w:r w:rsidRPr="000233DF">
        <w:rPr>
          <w:rFonts w:cstheme="minorHAnsi"/>
        </w:rPr>
        <w:t xml:space="preserve">Proposals </w:t>
      </w:r>
      <w:r>
        <w:rPr>
          <w:rFonts w:cstheme="minorHAnsi"/>
        </w:rPr>
        <w:t xml:space="preserve">are for </w:t>
      </w:r>
      <w:r w:rsidR="00847970">
        <w:rPr>
          <w:rFonts w:cstheme="minorHAnsi"/>
        </w:rPr>
        <w:t>land at Orwell</w:t>
      </w:r>
      <w:r w:rsidR="007D6F88">
        <w:rPr>
          <w:rFonts w:cstheme="minorHAnsi"/>
        </w:rPr>
        <w:t xml:space="preserve">, </w:t>
      </w:r>
      <w:r w:rsidR="00352439">
        <w:rPr>
          <w:rFonts w:cstheme="minorHAnsi"/>
        </w:rPr>
        <w:t>Cambridgeshire</w:t>
      </w:r>
      <w:r w:rsidR="00B9328E">
        <w:rPr>
          <w:rFonts w:cstheme="minorHAnsi"/>
        </w:rPr>
        <w:t xml:space="preserve"> </w:t>
      </w:r>
      <w:r w:rsidR="007D6F88">
        <w:rPr>
          <w:rFonts w:cstheme="minorHAnsi"/>
        </w:rPr>
        <w:t>to be used for residential development.</w:t>
      </w:r>
      <w:r w:rsidR="000F3F49">
        <w:rPr>
          <w:rFonts w:cstheme="minorHAnsi"/>
        </w:rPr>
        <w:t xml:space="preserve"> </w:t>
      </w:r>
      <w:r>
        <w:rPr>
          <w:rFonts w:cstheme="minorHAnsi"/>
        </w:rPr>
        <w:t xml:space="preserve">A detailed design was not available at the time of </w:t>
      </w:r>
      <w:r w:rsidR="009417AE">
        <w:rPr>
          <w:rFonts w:cstheme="minorHAnsi"/>
        </w:rPr>
        <w:t>writing;</w:t>
      </w:r>
      <w:r>
        <w:rPr>
          <w:rFonts w:cstheme="minorHAnsi"/>
        </w:rPr>
        <w:t xml:space="preserve"> </w:t>
      </w:r>
      <w:r w:rsidR="00352439">
        <w:rPr>
          <w:rFonts w:cstheme="minorHAnsi"/>
        </w:rPr>
        <w:t>however,</w:t>
      </w:r>
      <w:r>
        <w:rPr>
          <w:rFonts w:cstheme="minorHAnsi"/>
        </w:rPr>
        <w:t xml:space="preserve"> </w:t>
      </w:r>
      <w:r w:rsidR="00E30016">
        <w:rPr>
          <w:rFonts w:cstheme="minorHAnsi"/>
        </w:rPr>
        <w:t>the</w:t>
      </w:r>
      <w:r w:rsidR="00E30016" w:rsidRPr="00E30016">
        <w:rPr>
          <w:rFonts w:cstheme="minorHAnsi"/>
        </w:rPr>
        <w:t xml:space="preserve"> housing requirement for an individual </w:t>
      </w:r>
      <w:r w:rsidR="00E30016" w:rsidRPr="00D00E5E">
        <w:rPr>
          <w:rFonts w:cstheme="minorHAnsi"/>
        </w:rPr>
        <w:t>neighbourhood area has been identified</w:t>
      </w:r>
      <w:r w:rsidR="0052697C" w:rsidRPr="00D00E5E">
        <w:rPr>
          <w:rFonts w:cstheme="minorHAnsi"/>
        </w:rPr>
        <w:t>.</w:t>
      </w:r>
    </w:p>
    <w:p w14:paraId="39439C00" w14:textId="2B0E0D5A" w:rsidR="0033383A" w:rsidRPr="00D00E5E" w:rsidRDefault="0033383A" w:rsidP="0032701F">
      <w:pPr>
        <w:rPr>
          <w:b/>
          <w:bCs/>
        </w:rPr>
      </w:pPr>
      <w:r w:rsidRPr="00D00E5E">
        <w:rPr>
          <w:b/>
          <w:bCs/>
        </w:rPr>
        <w:lastRenderedPageBreak/>
        <w:t>Relevant Local and National Legislation, Policies and Guidance</w:t>
      </w:r>
    </w:p>
    <w:p w14:paraId="3BC1BBD5" w14:textId="787B0691" w:rsidR="0033383A" w:rsidRPr="00D00E5E" w:rsidRDefault="0033383A" w:rsidP="0032701F">
      <w:r w:rsidRPr="00D00E5E">
        <w:t>The following relevant legislation, policies and guidance have been considered:</w:t>
      </w:r>
    </w:p>
    <w:p w14:paraId="2BE67BBE" w14:textId="3150828B" w:rsidR="00981594" w:rsidRPr="00D00E5E" w:rsidRDefault="00ED77B7" w:rsidP="00BD1A4C">
      <w:pPr>
        <w:numPr>
          <w:ilvl w:val="0"/>
          <w:numId w:val="6"/>
        </w:numPr>
        <w:rPr>
          <w:rFonts w:cstheme="minorHAnsi"/>
        </w:rPr>
      </w:pPr>
      <w:r w:rsidRPr="00D00E5E">
        <w:rPr>
          <w:rFonts w:cstheme="minorHAnsi"/>
        </w:rPr>
        <w:t>Cam</w:t>
      </w:r>
      <w:r w:rsidR="00981594" w:rsidRPr="00D00E5E">
        <w:rPr>
          <w:rFonts w:cstheme="minorHAnsi"/>
        </w:rPr>
        <w:t>bridgeshire &amp; Peterborough Local Nature Recovery Strateg</w:t>
      </w:r>
      <w:r w:rsidR="000D1975" w:rsidRPr="00D00E5E">
        <w:rPr>
          <w:rFonts w:cstheme="minorHAnsi"/>
        </w:rPr>
        <w:t>y 2025</w:t>
      </w:r>
    </w:p>
    <w:p w14:paraId="36BEDADF" w14:textId="26AF3DE7" w:rsidR="00BD1A4C" w:rsidRPr="00BD1A4C" w:rsidRDefault="00BD1A4C" w:rsidP="00BD1A4C">
      <w:pPr>
        <w:numPr>
          <w:ilvl w:val="0"/>
          <w:numId w:val="6"/>
        </w:numPr>
        <w:rPr>
          <w:rFonts w:cstheme="minorHAnsi"/>
        </w:rPr>
      </w:pPr>
      <w:r w:rsidRPr="00BD1A4C">
        <w:rPr>
          <w:rFonts w:cstheme="minorHAnsi"/>
        </w:rPr>
        <w:t>The Conservation of Habitats and Species Regulations 2017 (SI 2017/1012), as amended by The Conservation of Habitats and Species (Amendment) (EU Exit) Regulations 2019 (SI 2019/579). </w:t>
      </w:r>
    </w:p>
    <w:p w14:paraId="52DF743A" w14:textId="77777777" w:rsidR="00BD1A4C" w:rsidRPr="00BD1A4C" w:rsidRDefault="00BD1A4C" w:rsidP="00BD1A4C">
      <w:pPr>
        <w:numPr>
          <w:ilvl w:val="0"/>
          <w:numId w:val="7"/>
        </w:numPr>
        <w:rPr>
          <w:rFonts w:cstheme="minorHAnsi"/>
        </w:rPr>
      </w:pPr>
      <w:r w:rsidRPr="00BD1A4C">
        <w:rPr>
          <w:rFonts w:cstheme="minorHAnsi"/>
        </w:rPr>
        <w:t>The Wildlife and Countryside Act 1981 (as amended). </w:t>
      </w:r>
    </w:p>
    <w:p w14:paraId="617ABF64" w14:textId="77777777" w:rsidR="00BD1A4C" w:rsidRPr="00BD1A4C" w:rsidRDefault="00BD1A4C" w:rsidP="00BD1A4C">
      <w:pPr>
        <w:numPr>
          <w:ilvl w:val="0"/>
          <w:numId w:val="8"/>
        </w:numPr>
        <w:rPr>
          <w:rFonts w:cstheme="minorHAnsi"/>
        </w:rPr>
      </w:pPr>
      <w:r w:rsidRPr="00BD1A4C">
        <w:rPr>
          <w:rFonts w:cstheme="minorHAnsi"/>
        </w:rPr>
        <w:t>The Natural Environment and Rural Communities Act 2006 (NERC Act). </w:t>
      </w:r>
    </w:p>
    <w:p w14:paraId="3D0D55DD" w14:textId="77777777" w:rsidR="00BD1A4C" w:rsidRPr="00BD1A4C" w:rsidRDefault="00BD1A4C" w:rsidP="00BD1A4C">
      <w:pPr>
        <w:numPr>
          <w:ilvl w:val="0"/>
          <w:numId w:val="9"/>
        </w:numPr>
        <w:rPr>
          <w:rFonts w:cstheme="minorHAnsi"/>
        </w:rPr>
      </w:pPr>
      <w:r w:rsidRPr="00BD1A4C">
        <w:rPr>
          <w:rFonts w:cstheme="minorHAnsi"/>
        </w:rPr>
        <w:t>The Countryside and Rights of Way Act (</w:t>
      </w:r>
      <w:proofErr w:type="spellStart"/>
      <w:r w:rsidRPr="00BD1A4C">
        <w:rPr>
          <w:rFonts w:cstheme="minorHAnsi"/>
        </w:rPr>
        <w:t>CRoW</w:t>
      </w:r>
      <w:proofErr w:type="spellEnd"/>
      <w:r w:rsidRPr="00BD1A4C">
        <w:rPr>
          <w:rFonts w:cstheme="minorHAnsi"/>
        </w:rPr>
        <w:t> Act), 2000 (as amended). </w:t>
      </w:r>
    </w:p>
    <w:p w14:paraId="43A3E6C3" w14:textId="77777777" w:rsidR="00BD1A4C" w:rsidRPr="00BD1A4C" w:rsidRDefault="00BD1A4C" w:rsidP="00BD1A4C">
      <w:pPr>
        <w:numPr>
          <w:ilvl w:val="0"/>
          <w:numId w:val="10"/>
        </w:numPr>
        <w:rPr>
          <w:rFonts w:cstheme="minorHAnsi"/>
        </w:rPr>
      </w:pPr>
      <w:r w:rsidRPr="00BD1A4C">
        <w:rPr>
          <w:rFonts w:cstheme="minorHAnsi"/>
        </w:rPr>
        <w:t>The Protection of Badgers Act 1992. </w:t>
      </w:r>
    </w:p>
    <w:p w14:paraId="01D89AC3" w14:textId="77777777" w:rsidR="00BD1A4C" w:rsidRPr="00BD1A4C" w:rsidRDefault="00BD1A4C" w:rsidP="00BD1A4C">
      <w:pPr>
        <w:numPr>
          <w:ilvl w:val="0"/>
          <w:numId w:val="11"/>
        </w:numPr>
        <w:rPr>
          <w:rFonts w:cstheme="minorHAnsi"/>
        </w:rPr>
      </w:pPr>
      <w:r w:rsidRPr="00BD1A4C">
        <w:rPr>
          <w:rFonts w:cstheme="minorHAnsi"/>
        </w:rPr>
        <w:t>The National Planning Policy Framework (NPPF) (September 2023). </w:t>
      </w:r>
    </w:p>
    <w:p w14:paraId="6DB5EF19" w14:textId="77777777" w:rsidR="00BD1A4C" w:rsidRPr="00BD1A4C" w:rsidRDefault="00BD1A4C" w:rsidP="00BD1A4C">
      <w:pPr>
        <w:numPr>
          <w:ilvl w:val="0"/>
          <w:numId w:val="12"/>
        </w:numPr>
        <w:rPr>
          <w:rFonts w:cstheme="minorHAnsi"/>
        </w:rPr>
      </w:pPr>
      <w:r w:rsidRPr="00BD1A4C">
        <w:rPr>
          <w:rFonts w:cstheme="minorHAnsi"/>
        </w:rPr>
        <w:t>Environment Act 2021. </w:t>
      </w:r>
    </w:p>
    <w:p w14:paraId="77A27E21" w14:textId="77777777" w:rsidR="00BD1A4C" w:rsidRPr="00BD1A4C" w:rsidRDefault="00BD1A4C" w:rsidP="00BD1A4C">
      <w:pPr>
        <w:numPr>
          <w:ilvl w:val="0"/>
          <w:numId w:val="13"/>
        </w:numPr>
        <w:rPr>
          <w:rFonts w:cstheme="minorHAnsi"/>
        </w:rPr>
      </w:pPr>
      <w:r w:rsidRPr="00BD1A4C">
        <w:rPr>
          <w:rFonts w:cstheme="minorHAnsi"/>
        </w:rPr>
        <w:t>The Biodiversity Gain Requirements (Exemptions) Regulations 2024. </w:t>
      </w:r>
    </w:p>
    <w:p w14:paraId="2FCDA60F" w14:textId="77777777" w:rsidR="00BD1A4C" w:rsidRPr="00BD1A4C" w:rsidRDefault="00BD1A4C" w:rsidP="00BD1A4C">
      <w:pPr>
        <w:numPr>
          <w:ilvl w:val="0"/>
          <w:numId w:val="14"/>
        </w:numPr>
        <w:rPr>
          <w:rFonts w:cstheme="minorHAnsi"/>
        </w:rPr>
      </w:pPr>
      <w:r w:rsidRPr="00BD1A4C">
        <w:rPr>
          <w:rFonts w:cstheme="minorHAnsi"/>
        </w:rPr>
        <w:t>The Biodiversity Gain Requirements (Irreplaceable Habitat) Regulations 2024. </w:t>
      </w:r>
    </w:p>
    <w:p w14:paraId="7F6860D7" w14:textId="77777777" w:rsidR="00BD1A4C" w:rsidRPr="00BD1A4C" w:rsidRDefault="00BD1A4C" w:rsidP="00BD1A4C">
      <w:pPr>
        <w:numPr>
          <w:ilvl w:val="0"/>
          <w:numId w:val="15"/>
        </w:numPr>
        <w:rPr>
          <w:rFonts w:cstheme="minorHAnsi"/>
        </w:rPr>
      </w:pPr>
      <w:r w:rsidRPr="00BD1A4C">
        <w:rPr>
          <w:rFonts w:cstheme="minorHAnsi"/>
        </w:rPr>
        <w:t>The Biodiversity Gain (Town and Country Planning) (Modifications and Amendments). (England) Regulations 2024. </w:t>
      </w:r>
    </w:p>
    <w:p w14:paraId="62581EAD" w14:textId="77777777" w:rsidR="00BD1A4C" w:rsidRPr="00BD1A4C" w:rsidRDefault="00BD1A4C" w:rsidP="00BD1A4C">
      <w:pPr>
        <w:numPr>
          <w:ilvl w:val="0"/>
          <w:numId w:val="16"/>
        </w:numPr>
        <w:rPr>
          <w:rFonts w:cstheme="minorHAnsi"/>
        </w:rPr>
      </w:pPr>
      <w:r w:rsidRPr="00BD1A4C">
        <w:rPr>
          <w:rFonts w:cstheme="minorHAnsi"/>
        </w:rPr>
        <w:t>Mandatory BNG (February 2024). </w:t>
      </w:r>
    </w:p>
    <w:p w14:paraId="6F48BABE" w14:textId="70446944" w:rsidR="00DE43F2" w:rsidRDefault="00B1736C" w:rsidP="00745C06">
      <w:pPr>
        <w:pStyle w:val="Heading1"/>
      </w:pPr>
      <w:r>
        <w:t>Methodology</w:t>
      </w:r>
    </w:p>
    <w:p w14:paraId="36AC4222" w14:textId="6E226937" w:rsidR="00260398" w:rsidRPr="00B1736C" w:rsidRDefault="00B1736C" w:rsidP="0032701F">
      <w:pPr>
        <w:rPr>
          <w:b/>
          <w:bCs/>
        </w:rPr>
      </w:pPr>
      <w:r w:rsidRPr="00B1736C">
        <w:rPr>
          <w:b/>
          <w:bCs/>
        </w:rPr>
        <w:t>Field survey</w:t>
      </w:r>
    </w:p>
    <w:p w14:paraId="6955486C" w14:textId="364839DB" w:rsidR="001A0F18" w:rsidRDefault="001A0F18" w:rsidP="00B1736C">
      <w:pPr>
        <w:pStyle w:val="Heading1"/>
        <w:rPr>
          <w:rFonts w:cstheme="minorHAnsi"/>
          <w:b w:val="0"/>
          <w:bCs w:val="0"/>
          <w:sz w:val="20"/>
          <w:szCs w:val="22"/>
        </w:rPr>
      </w:pPr>
      <w:r w:rsidRPr="001A0F18">
        <w:rPr>
          <w:rFonts w:cstheme="minorHAnsi"/>
          <w:b w:val="0"/>
          <w:bCs w:val="0"/>
          <w:sz w:val="20"/>
          <w:szCs w:val="22"/>
        </w:rPr>
        <w:t xml:space="preserve">A baseline assessment of area, linear and watercourse habitats was undertaken </w:t>
      </w:r>
      <w:r>
        <w:rPr>
          <w:rFonts w:cstheme="minorHAnsi"/>
          <w:b w:val="0"/>
          <w:bCs w:val="0"/>
          <w:sz w:val="20"/>
          <w:szCs w:val="22"/>
        </w:rPr>
        <w:t xml:space="preserve">by a suitably trained ecologist on 19 December 2025 </w:t>
      </w:r>
      <w:r w:rsidRPr="001A0F18">
        <w:rPr>
          <w:rFonts w:cstheme="minorHAnsi"/>
          <w:b w:val="0"/>
          <w:bCs w:val="0"/>
          <w:sz w:val="20"/>
          <w:szCs w:val="22"/>
        </w:rPr>
        <w:t>using the </w:t>
      </w:r>
      <w:proofErr w:type="spellStart"/>
      <w:r w:rsidRPr="001A0F18">
        <w:rPr>
          <w:rFonts w:cstheme="minorHAnsi"/>
          <w:b w:val="0"/>
          <w:bCs w:val="0"/>
          <w:sz w:val="20"/>
          <w:szCs w:val="22"/>
        </w:rPr>
        <w:t>UKHab</w:t>
      </w:r>
      <w:proofErr w:type="spellEnd"/>
      <w:r w:rsidRPr="001A0F18">
        <w:rPr>
          <w:rFonts w:cstheme="minorHAnsi"/>
          <w:b w:val="0"/>
          <w:bCs w:val="0"/>
          <w:sz w:val="20"/>
          <w:szCs w:val="22"/>
        </w:rPr>
        <w:t> Version 2.0</w:t>
      </w:r>
      <w:r w:rsidR="0039131B">
        <w:rPr>
          <w:rFonts w:cstheme="minorHAnsi"/>
          <w:b w:val="0"/>
          <w:bCs w:val="0"/>
          <w:sz w:val="20"/>
          <w:szCs w:val="22"/>
        </w:rPr>
        <w:t xml:space="preserve">. </w:t>
      </w:r>
      <w:r w:rsidRPr="001A0F18">
        <w:rPr>
          <w:rFonts w:cstheme="minorHAnsi"/>
          <w:b w:val="0"/>
          <w:bCs w:val="0"/>
          <w:sz w:val="20"/>
          <w:szCs w:val="22"/>
        </w:rPr>
        <w:t xml:space="preserve"> </w:t>
      </w:r>
      <w:r w:rsidR="00014B7B">
        <w:rPr>
          <w:rFonts w:cstheme="minorHAnsi"/>
          <w:b w:val="0"/>
          <w:bCs w:val="0"/>
          <w:sz w:val="20"/>
          <w:szCs w:val="22"/>
        </w:rPr>
        <w:t>S</w:t>
      </w:r>
      <w:r w:rsidR="00882AEC">
        <w:rPr>
          <w:rFonts w:cstheme="minorHAnsi"/>
          <w:b w:val="0"/>
          <w:bCs w:val="0"/>
          <w:sz w:val="20"/>
          <w:szCs w:val="22"/>
        </w:rPr>
        <w:t>ufficient information</w:t>
      </w:r>
      <w:r w:rsidR="00014B7B">
        <w:rPr>
          <w:rFonts w:cstheme="minorHAnsi"/>
          <w:b w:val="0"/>
          <w:bCs w:val="0"/>
          <w:sz w:val="20"/>
          <w:szCs w:val="22"/>
        </w:rPr>
        <w:t xml:space="preserve"> </w:t>
      </w:r>
      <w:r w:rsidR="00882AEC">
        <w:rPr>
          <w:rFonts w:cstheme="minorHAnsi"/>
          <w:b w:val="0"/>
          <w:bCs w:val="0"/>
          <w:sz w:val="20"/>
          <w:szCs w:val="22"/>
        </w:rPr>
        <w:t xml:space="preserve">was collected to allow the condition of habitat to be assessed </w:t>
      </w:r>
      <w:r w:rsidR="00014B7B">
        <w:rPr>
          <w:rFonts w:cstheme="minorHAnsi"/>
          <w:b w:val="0"/>
          <w:bCs w:val="0"/>
          <w:sz w:val="20"/>
          <w:szCs w:val="22"/>
        </w:rPr>
        <w:t>in line</w:t>
      </w:r>
      <w:r w:rsidR="00882AEC">
        <w:rPr>
          <w:rFonts w:cstheme="minorHAnsi"/>
          <w:b w:val="0"/>
          <w:bCs w:val="0"/>
          <w:sz w:val="20"/>
          <w:szCs w:val="22"/>
        </w:rPr>
        <w:t xml:space="preserve"> per BNG methodology. </w:t>
      </w:r>
      <w:r w:rsidR="00951FC9" w:rsidRPr="00951FC9">
        <w:rPr>
          <w:rFonts w:cstheme="minorHAnsi"/>
          <w:b w:val="0"/>
          <w:bCs w:val="0"/>
          <w:sz w:val="20"/>
          <w:szCs w:val="22"/>
        </w:rPr>
        <w:t>Surveys and habitat assessments have been undertaken in accordance with best practice guidance for species identification and habitat requirements, following the Chartered Institute of Ecology and Environmental Management (CIEEM) competencies for species survey. This ensures that methodologies applied are consistent with industry standards and provide robust, defensible data to inform ecological assessment and planning.</w:t>
      </w:r>
    </w:p>
    <w:p w14:paraId="0ACF2708" w14:textId="05E804BC" w:rsidR="00E823F8" w:rsidRPr="00B1736C" w:rsidRDefault="000417E9" w:rsidP="00E823F8">
      <w:pPr>
        <w:rPr>
          <w:b/>
          <w:bCs/>
        </w:rPr>
      </w:pPr>
      <w:r>
        <w:rPr>
          <w:b/>
          <w:bCs/>
        </w:rPr>
        <w:t xml:space="preserve">BNG </w:t>
      </w:r>
      <w:r w:rsidR="007B63AB">
        <w:rPr>
          <w:b/>
          <w:bCs/>
        </w:rPr>
        <w:t>Assessment</w:t>
      </w:r>
    </w:p>
    <w:p w14:paraId="37FC1112" w14:textId="16029436" w:rsidR="004F5FE2" w:rsidRPr="004F5FE2" w:rsidRDefault="004F5FE2" w:rsidP="00131AA5">
      <w:r w:rsidRPr="004F5FE2">
        <w:t xml:space="preserve">All habitat data were entered into the Statutory </w:t>
      </w:r>
      <w:r w:rsidR="00B4660E">
        <w:t>BNG</w:t>
      </w:r>
      <w:r w:rsidRPr="004F5FE2">
        <w:t xml:space="preserve"> Metric to calculate the baseline biodiversity units for the Site. This included:</w:t>
      </w:r>
    </w:p>
    <w:p w14:paraId="5C27B8B4" w14:textId="77777777" w:rsidR="004F5FE2" w:rsidRPr="004F5FE2" w:rsidRDefault="004F5FE2" w:rsidP="004F5FE2">
      <w:pPr>
        <w:numPr>
          <w:ilvl w:val="0"/>
          <w:numId w:val="18"/>
        </w:numPr>
        <w:rPr>
          <w:rFonts w:cstheme="minorHAnsi"/>
        </w:rPr>
      </w:pPr>
      <w:r w:rsidRPr="004F5FE2">
        <w:rPr>
          <w:rFonts w:cstheme="minorHAnsi"/>
          <w:b/>
          <w:bCs/>
        </w:rPr>
        <w:t>Area Habitat Units</w:t>
      </w:r>
    </w:p>
    <w:p w14:paraId="7AE5B112" w14:textId="77777777" w:rsidR="004F5FE2" w:rsidRPr="004F5FE2" w:rsidRDefault="004F5FE2" w:rsidP="004F5FE2">
      <w:pPr>
        <w:numPr>
          <w:ilvl w:val="0"/>
          <w:numId w:val="18"/>
        </w:numPr>
        <w:rPr>
          <w:rFonts w:cstheme="minorHAnsi"/>
        </w:rPr>
      </w:pPr>
      <w:r w:rsidRPr="004F5FE2">
        <w:rPr>
          <w:rFonts w:cstheme="minorHAnsi"/>
          <w:b/>
          <w:bCs/>
        </w:rPr>
        <w:t>Hedgerow Units</w:t>
      </w:r>
    </w:p>
    <w:p w14:paraId="58C6FE04" w14:textId="77777777" w:rsidR="004F5FE2" w:rsidRPr="004F5FE2" w:rsidRDefault="004F5FE2" w:rsidP="004F5FE2">
      <w:pPr>
        <w:numPr>
          <w:ilvl w:val="0"/>
          <w:numId w:val="18"/>
        </w:numPr>
        <w:rPr>
          <w:rFonts w:cstheme="minorHAnsi"/>
        </w:rPr>
      </w:pPr>
      <w:r w:rsidRPr="004F5FE2">
        <w:rPr>
          <w:rFonts w:cstheme="minorHAnsi"/>
          <w:b/>
          <w:bCs/>
        </w:rPr>
        <w:t>Watercourse Units</w:t>
      </w:r>
    </w:p>
    <w:p w14:paraId="650BD0AB" w14:textId="77B1F33D" w:rsidR="004F5FE2" w:rsidRPr="004F5FE2" w:rsidRDefault="004F5FE2" w:rsidP="004F5FE2">
      <w:r w:rsidRPr="004F5FE2">
        <w:lastRenderedPageBreak/>
        <w:t xml:space="preserve">The baseline calculation provides the foundation for determining the level of enhancement required to achieve the mandatory BNG target (minimum 10%) and informs future </w:t>
      </w:r>
      <w:r w:rsidR="00131AA5">
        <w:t>development proposals.</w:t>
      </w:r>
      <w:r w:rsidRPr="004F5FE2">
        <w:t xml:space="preserve"> proposals.</w:t>
      </w:r>
    </w:p>
    <w:p w14:paraId="035D6C7C" w14:textId="29CBF831" w:rsidR="00B1736C" w:rsidRDefault="00B4660E" w:rsidP="00B1736C">
      <w:pPr>
        <w:pStyle w:val="Heading1"/>
      </w:pPr>
      <w:r>
        <w:t>Results</w:t>
      </w:r>
    </w:p>
    <w:p w14:paraId="32177B28" w14:textId="77777777" w:rsidR="00B1736C" w:rsidRPr="006E3430" w:rsidRDefault="00B1736C" w:rsidP="00B1736C">
      <w:pPr>
        <w:rPr>
          <w:b/>
          <w:bCs/>
        </w:rPr>
      </w:pPr>
      <w:r w:rsidRPr="006E3430">
        <w:rPr>
          <w:b/>
          <w:bCs/>
        </w:rPr>
        <w:t>Habitats</w:t>
      </w:r>
    </w:p>
    <w:p w14:paraId="49DC8A84" w14:textId="3418F1C5" w:rsidR="00B1736C" w:rsidRDefault="00B1736C" w:rsidP="00B1736C">
      <w:pPr>
        <w:rPr>
          <w:rFonts w:cstheme="minorHAnsi"/>
        </w:rPr>
      </w:pPr>
      <w:r w:rsidRPr="003E38F4">
        <w:rPr>
          <w:rFonts w:cstheme="minorHAnsi"/>
        </w:rPr>
        <w:t xml:space="preserve">The results of the habitat survey are presented </w:t>
      </w:r>
      <w:r>
        <w:rPr>
          <w:rFonts w:cstheme="minorHAnsi"/>
        </w:rPr>
        <w:t xml:space="preserve">in </w:t>
      </w:r>
      <w:r w:rsidRPr="007B4106">
        <w:rPr>
          <w:rFonts w:cstheme="minorHAnsi"/>
          <w:b/>
          <w:bCs/>
        </w:rPr>
        <w:t>Table 1</w:t>
      </w:r>
      <w:r w:rsidRPr="003E38F4">
        <w:rPr>
          <w:rFonts w:cstheme="minorHAnsi"/>
        </w:rPr>
        <w:t xml:space="preserve"> and </w:t>
      </w:r>
      <w:r w:rsidRPr="00260398">
        <w:rPr>
          <w:rFonts w:cstheme="minorHAnsi"/>
        </w:rPr>
        <w:t xml:space="preserve">shown in </w:t>
      </w:r>
      <w:r w:rsidRPr="00260398">
        <w:rPr>
          <w:rFonts w:cstheme="minorHAnsi"/>
          <w:b/>
          <w:bCs/>
        </w:rPr>
        <w:t>Figure 1</w:t>
      </w:r>
      <w:r w:rsidRPr="00260398">
        <w:rPr>
          <w:rFonts w:cstheme="minorHAnsi"/>
        </w:rPr>
        <w:t xml:space="preserve"> </w:t>
      </w:r>
      <w:r w:rsidRPr="003E38F4">
        <w:rPr>
          <w:rFonts w:cstheme="minorHAnsi"/>
        </w:rPr>
        <w:t>which illustrates the location and extent of habitat types recorded within the Site boundary</w:t>
      </w:r>
      <w:r>
        <w:rPr>
          <w:rFonts w:cstheme="minorHAnsi"/>
        </w:rPr>
        <w:t xml:space="preserve">. Information on individual trees is provided in </w:t>
      </w:r>
      <w:r w:rsidRPr="00B37FD5">
        <w:rPr>
          <w:rFonts w:cstheme="minorHAnsi"/>
          <w:b/>
          <w:bCs/>
        </w:rPr>
        <w:t>Table 2</w:t>
      </w:r>
      <w:r>
        <w:rPr>
          <w:rFonts w:cstheme="minorHAnsi"/>
        </w:rPr>
        <w:t>.</w:t>
      </w:r>
      <w:r w:rsidR="00B4660E">
        <w:rPr>
          <w:rFonts w:cstheme="minorHAnsi"/>
        </w:rPr>
        <w:t xml:space="preserve"> </w:t>
      </w:r>
      <w:r w:rsidR="00B4660E" w:rsidRPr="00B4660E">
        <w:rPr>
          <w:rFonts w:cstheme="minorHAnsi"/>
        </w:rPr>
        <w:t xml:space="preserve">For </w:t>
      </w:r>
      <w:r w:rsidR="00DC746E">
        <w:rPr>
          <w:rFonts w:cstheme="minorHAnsi"/>
        </w:rPr>
        <w:t>the</w:t>
      </w:r>
      <w:r w:rsidR="00B4660E" w:rsidRPr="00B4660E">
        <w:rPr>
          <w:rFonts w:cstheme="minorHAnsi"/>
        </w:rPr>
        <w:t xml:space="preserve"> purposes of this BNG assessment it has been assumed that medium, large or very large trees within ‘Hedgerow with trees’ </w:t>
      </w:r>
      <w:r w:rsidR="00AB1005">
        <w:rPr>
          <w:rFonts w:cstheme="minorHAnsi"/>
        </w:rPr>
        <w:t xml:space="preserve">habitat </w:t>
      </w:r>
      <w:r w:rsidR="00B4660E" w:rsidRPr="00B4660E">
        <w:rPr>
          <w:rFonts w:cstheme="minorHAnsi"/>
        </w:rPr>
        <w:t>are not being removed, as such these have not been recorded separately as ‘individual trees’ within the baseline</w:t>
      </w:r>
      <w:r w:rsidR="00347559">
        <w:rPr>
          <w:rFonts w:cstheme="minorHAnsi"/>
        </w:rPr>
        <w:t>,</w:t>
      </w:r>
      <w:r w:rsidR="00B4660E" w:rsidRPr="00B4660E">
        <w:rPr>
          <w:rFonts w:cstheme="minorHAnsi"/>
        </w:rPr>
        <w:t xml:space="preserve"> in line with BNG technical guidance</w:t>
      </w:r>
      <w:r w:rsidR="00AB1005">
        <w:rPr>
          <w:rFonts w:cstheme="minorHAnsi"/>
        </w:rPr>
        <w:t>.</w:t>
      </w:r>
    </w:p>
    <w:p w14:paraId="13ECED6F" w14:textId="77777777" w:rsidR="00B1736C" w:rsidRDefault="00B1736C" w:rsidP="0032701F">
      <w:pPr>
        <w:rPr>
          <w:rFonts w:cstheme="minorHAnsi"/>
        </w:rPr>
      </w:pPr>
    </w:p>
    <w:p w14:paraId="0EFE36CD" w14:textId="67FF8713" w:rsidR="00D765ED" w:rsidRDefault="00704C3F" w:rsidP="0032701F">
      <w:pPr>
        <w:rPr>
          <w:rFonts w:cstheme="minorHAnsi"/>
        </w:rPr>
        <w:sectPr w:rsidR="00D765ED" w:rsidSect="00706A4E">
          <w:headerReference w:type="default" r:id="rId8"/>
          <w:footerReference w:type="default" r:id="rId9"/>
          <w:pgSz w:w="11906" w:h="16838"/>
          <w:pgMar w:top="1701" w:right="1134" w:bottom="1440" w:left="1134" w:header="709" w:footer="709" w:gutter="0"/>
          <w:cols w:space="708"/>
          <w:docGrid w:linePitch="360"/>
        </w:sectPr>
      </w:pPr>
      <w:r>
        <w:rPr>
          <w:rFonts w:cstheme="minorHAnsi"/>
        </w:rPr>
        <w:t>.</w:t>
      </w:r>
    </w:p>
    <w:p w14:paraId="2E196922" w14:textId="5A26898E" w:rsidR="00DE28CC" w:rsidRDefault="00DE28CC" w:rsidP="0032701F">
      <w:pPr>
        <w:rPr>
          <w:rFonts w:cstheme="minorHAnsi"/>
        </w:rPr>
      </w:pPr>
    </w:p>
    <w:p w14:paraId="31194DA6" w14:textId="4C6F8F00" w:rsidR="00D10A4D" w:rsidRPr="00A36BF7" w:rsidRDefault="0009438A" w:rsidP="0032701F">
      <w:pPr>
        <w:rPr>
          <w:rFonts w:cstheme="minorHAnsi"/>
          <w:i/>
          <w:iCs/>
        </w:rPr>
      </w:pPr>
      <w:r w:rsidRPr="00A36BF7">
        <w:rPr>
          <w:rFonts w:cstheme="minorHAnsi"/>
          <w:i/>
          <w:iCs/>
        </w:rPr>
        <w:t>Table 1 Habitats Recorded in the Survey</w:t>
      </w:r>
    </w:p>
    <w:tbl>
      <w:tblPr>
        <w:tblStyle w:val="PegasusGrouptablestyle"/>
        <w:tblW w:w="14596" w:type="dxa"/>
        <w:tblLayout w:type="fixed"/>
        <w:tblLook w:val="05E0" w:firstRow="1" w:lastRow="1" w:firstColumn="1" w:lastColumn="1" w:noHBand="0" w:noVBand="1"/>
      </w:tblPr>
      <w:tblGrid>
        <w:gridCol w:w="1403"/>
        <w:gridCol w:w="1044"/>
        <w:gridCol w:w="1715"/>
        <w:gridCol w:w="1503"/>
        <w:gridCol w:w="6192"/>
        <w:gridCol w:w="2739"/>
      </w:tblGrid>
      <w:tr w:rsidR="00327FF2" w14:paraId="38A59391" w14:textId="3CEE1B59" w:rsidTr="00AE1D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03" w:type="dxa"/>
          </w:tcPr>
          <w:p w14:paraId="48F8476B" w14:textId="4C84A65E" w:rsidR="0065147C" w:rsidRDefault="0065147C" w:rsidP="00CE24A2">
            <w:r>
              <w:t>Habitat</w:t>
            </w:r>
          </w:p>
        </w:tc>
        <w:tc>
          <w:tcPr>
            <w:tcW w:w="1044" w:type="dxa"/>
          </w:tcPr>
          <w:p w14:paraId="77D8B0A1" w14:textId="20F410FC" w:rsidR="0065147C" w:rsidRDefault="0065147C" w:rsidP="00CE24A2">
            <w:pPr>
              <w:cnfStyle w:val="100000000000" w:firstRow="1" w:lastRow="0" w:firstColumn="0" w:lastColumn="0" w:oddVBand="0" w:evenVBand="0" w:oddHBand="0" w:evenHBand="0" w:firstRowFirstColumn="0" w:firstRowLastColumn="0" w:lastRowFirstColumn="0" w:lastRowLastColumn="0"/>
            </w:pPr>
            <w:r>
              <w:t>Area / length on Site (ha/km)</w:t>
            </w:r>
          </w:p>
        </w:tc>
        <w:tc>
          <w:tcPr>
            <w:tcW w:w="1715" w:type="dxa"/>
          </w:tcPr>
          <w:p w14:paraId="4EFD0BBF" w14:textId="6AC2BD4E" w:rsidR="0065147C" w:rsidRDefault="0065147C" w:rsidP="00CE24A2">
            <w:pPr>
              <w:cnfStyle w:val="100000000000" w:firstRow="1" w:lastRow="0" w:firstColumn="0" w:lastColumn="0" w:oddVBand="0" w:evenVBand="0" w:oddHBand="0" w:evenHBand="0" w:firstRowFirstColumn="0" w:firstRowLastColumn="0" w:lastRowFirstColumn="0" w:lastRowLastColumn="0"/>
            </w:pPr>
            <w:r>
              <w:t>Distinctiveness</w:t>
            </w:r>
          </w:p>
        </w:tc>
        <w:tc>
          <w:tcPr>
            <w:tcW w:w="1503" w:type="dxa"/>
          </w:tcPr>
          <w:p w14:paraId="5CB87095" w14:textId="25641EFD" w:rsidR="0065147C" w:rsidRDefault="0065147C" w:rsidP="00CE24A2">
            <w:pPr>
              <w:cnfStyle w:val="100000000000" w:firstRow="1" w:lastRow="0" w:firstColumn="0" w:lastColumn="0" w:oddVBand="0" w:evenVBand="0" w:oddHBand="0" w:evenHBand="0" w:firstRowFirstColumn="0" w:firstRowLastColumn="0" w:lastRowFirstColumn="0" w:lastRowLastColumn="0"/>
            </w:pPr>
            <w:r>
              <w:t>Condition</w:t>
            </w:r>
          </w:p>
        </w:tc>
        <w:tc>
          <w:tcPr>
            <w:tcW w:w="6192" w:type="dxa"/>
          </w:tcPr>
          <w:p w14:paraId="2AC3E7EF" w14:textId="0C2BB9E3" w:rsidR="0065147C" w:rsidRDefault="0065147C" w:rsidP="00CE24A2">
            <w:pPr>
              <w:cnfStyle w:val="100000000000" w:firstRow="1" w:lastRow="0" w:firstColumn="0" w:lastColumn="0" w:oddVBand="0" w:evenVBand="0" w:oddHBand="0" w:evenHBand="0" w:firstRowFirstColumn="0" w:firstRowLastColumn="0" w:lastRowFirstColumn="0" w:lastRowLastColumn="0"/>
            </w:pPr>
            <w:r>
              <w:t>Description</w:t>
            </w:r>
          </w:p>
        </w:tc>
        <w:tc>
          <w:tcPr>
            <w:cnfStyle w:val="000100001000" w:firstRow="0" w:lastRow="0" w:firstColumn="0" w:lastColumn="1" w:oddVBand="0" w:evenVBand="0" w:oddHBand="0" w:evenHBand="0" w:firstRowFirstColumn="0" w:firstRowLastColumn="1" w:lastRowFirstColumn="0" w:lastRowLastColumn="0"/>
            <w:tcW w:w="2739" w:type="dxa"/>
          </w:tcPr>
          <w:p w14:paraId="159BF6B5" w14:textId="584C9942" w:rsidR="0065147C" w:rsidRDefault="0065147C" w:rsidP="00CE24A2">
            <w:r>
              <w:t>Strategic Significance</w:t>
            </w:r>
            <w:r w:rsidR="000C24BE">
              <w:rPr>
                <w:rStyle w:val="FootnoteReference"/>
              </w:rPr>
              <w:footnoteReference w:id="1"/>
            </w:r>
          </w:p>
        </w:tc>
      </w:tr>
      <w:tr w:rsidR="00327FF2" w14:paraId="00A5C187" w14:textId="0E28308D"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431AF00D" w14:textId="77877B90" w:rsidR="0065147C" w:rsidRDefault="0065147C" w:rsidP="00CE24A2">
            <w:r>
              <w:t xml:space="preserve">c1c5 Arable and Horticulture – </w:t>
            </w:r>
            <w:r w:rsidR="00535861">
              <w:t>W</w:t>
            </w:r>
            <w:r>
              <w:t>inter stubble</w:t>
            </w:r>
          </w:p>
        </w:tc>
        <w:tc>
          <w:tcPr>
            <w:tcW w:w="1044" w:type="dxa"/>
          </w:tcPr>
          <w:p w14:paraId="7B77FC69" w14:textId="09C1DECB" w:rsidR="0065147C" w:rsidRDefault="00CC25F6" w:rsidP="00CE24A2">
            <w:pPr>
              <w:cnfStyle w:val="000000100000" w:firstRow="0" w:lastRow="0" w:firstColumn="0" w:lastColumn="0" w:oddVBand="0" w:evenVBand="0" w:oddHBand="1" w:evenHBand="0" w:firstRowFirstColumn="0" w:firstRowLastColumn="0" w:lastRowFirstColumn="0" w:lastRowLastColumn="0"/>
            </w:pPr>
            <w:r>
              <w:t>1.84</w:t>
            </w:r>
          </w:p>
        </w:tc>
        <w:tc>
          <w:tcPr>
            <w:tcW w:w="1715" w:type="dxa"/>
          </w:tcPr>
          <w:p w14:paraId="451B323E" w14:textId="115E7FFB" w:rsidR="0065147C" w:rsidRDefault="0065147C" w:rsidP="00CE24A2">
            <w:pPr>
              <w:cnfStyle w:val="000000100000" w:firstRow="0" w:lastRow="0" w:firstColumn="0" w:lastColumn="0" w:oddVBand="0" w:evenVBand="0" w:oddHBand="1" w:evenHBand="0" w:firstRowFirstColumn="0" w:firstRowLastColumn="0" w:lastRowFirstColumn="0" w:lastRowLastColumn="0"/>
            </w:pPr>
            <w:r>
              <w:t>Low</w:t>
            </w:r>
          </w:p>
        </w:tc>
        <w:tc>
          <w:tcPr>
            <w:tcW w:w="1503" w:type="dxa"/>
          </w:tcPr>
          <w:p w14:paraId="3F635628" w14:textId="0BD17179" w:rsidR="0065147C" w:rsidRDefault="0065147C" w:rsidP="00CE24A2">
            <w:pPr>
              <w:cnfStyle w:val="000000100000" w:firstRow="0" w:lastRow="0" w:firstColumn="0" w:lastColumn="0" w:oddVBand="0" w:evenVBand="0" w:oddHBand="1" w:evenHBand="0" w:firstRowFirstColumn="0" w:firstRowLastColumn="0" w:lastRowFirstColumn="0" w:lastRowLastColumn="0"/>
            </w:pPr>
            <w:r>
              <w:t>N/A</w:t>
            </w:r>
          </w:p>
        </w:tc>
        <w:tc>
          <w:tcPr>
            <w:tcW w:w="6192" w:type="dxa"/>
          </w:tcPr>
          <w:p w14:paraId="60ED0A01" w14:textId="029B60E6" w:rsidR="0065147C" w:rsidRDefault="00891647" w:rsidP="00CE24A2">
            <w:pPr>
              <w:cnfStyle w:val="000000100000" w:firstRow="0" w:lastRow="0" w:firstColumn="0" w:lastColumn="0" w:oddVBand="0" w:evenVBand="0" w:oddHBand="1" w:evenHBand="0" w:firstRowFirstColumn="0" w:firstRowLastColumn="0" w:lastRowFirstColumn="0" w:lastRowLastColumn="0"/>
            </w:pPr>
            <w:r>
              <w:t>Winter stubble with exposed earth.</w:t>
            </w:r>
            <w:r w:rsidR="0065147C">
              <w:t xml:space="preserve"> </w:t>
            </w:r>
          </w:p>
        </w:tc>
        <w:tc>
          <w:tcPr>
            <w:cnfStyle w:val="000100000000" w:firstRow="0" w:lastRow="0" w:firstColumn="0" w:lastColumn="1" w:oddVBand="0" w:evenVBand="0" w:oddHBand="0" w:evenHBand="0" w:firstRowFirstColumn="0" w:firstRowLastColumn="0" w:lastRowFirstColumn="0" w:lastRowLastColumn="0"/>
            <w:tcW w:w="2739" w:type="dxa"/>
          </w:tcPr>
          <w:p w14:paraId="36DB44ED" w14:textId="3B1684E0" w:rsidR="0065147C" w:rsidRDefault="00252166" w:rsidP="00CE24A2">
            <w:r w:rsidRPr="00252166">
              <w:t>Formally identified in local strategy</w:t>
            </w:r>
            <w:r w:rsidR="00535861">
              <w:t>, see strategic significance section for further information.</w:t>
            </w:r>
          </w:p>
        </w:tc>
      </w:tr>
      <w:tr w:rsidR="00406F8B" w14:paraId="1E347033" w14:textId="77777777" w:rsidTr="00AE1D4C">
        <w:tc>
          <w:tcPr>
            <w:cnfStyle w:val="001000000000" w:firstRow="0" w:lastRow="0" w:firstColumn="1" w:lastColumn="0" w:oddVBand="0" w:evenVBand="0" w:oddHBand="0" w:evenHBand="0" w:firstRowFirstColumn="0" w:firstRowLastColumn="0" w:lastRowFirstColumn="0" w:lastRowLastColumn="0"/>
            <w:tcW w:w="1403" w:type="dxa"/>
          </w:tcPr>
          <w:p w14:paraId="19E35C8E" w14:textId="74628790" w:rsidR="000C53DA" w:rsidRDefault="000C53DA" w:rsidP="000C53DA">
            <w:r>
              <w:t>c1c5 Arable and Horticulture – Winter stubble</w:t>
            </w:r>
          </w:p>
        </w:tc>
        <w:tc>
          <w:tcPr>
            <w:tcW w:w="1044" w:type="dxa"/>
          </w:tcPr>
          <w:p w14:paraId="42626929" w14:textId="5007F671" w:rsidR="000C53DA" w:rsidRDefault="000C53DA" w:rsidP="000C53DA">
            <w:pPr>
              <w:cnfStyle w:val="000000000000" w:firstRow="0" w:lastRow="0" w:firstColumn="0" w:lastColumn="0" w:oddVBand="0" w:evenVBand="0" w:oddHBand="0" w:evenHBand="0" w:firstRowFirstColumn="0" w:firstRowLastColumn="0" w:lastRowFirstColumn="0" w:lastRowLastColumn="0"/>
            </w:pPr>
            <w:r>
              <w:t>6.12</w:t>
            </w:r>
          </w:p>
        </w:tc>
        <w:tc>
          <w:tcPr>
            <w:tcW w:w="1715" w:type="dxa"/>
          </w:tcPr>
          <w:p w14:paraId="54691EDD" w14:textId="6E6D96C4" w:rsidR="000C53DA" w:rsidRDefault="000C53DA" w:rsidP="000C53DA">
            <w:pPr>
              <w:cnfStyle w:val="000000000000" w:firstRow="0" w:lastRow="0" w:firstColumn="0" w:lastColumn="0" w:oddVBand="0" w:evenVBand="0" w:oddHBand="0" w:evenHBand="0" w:firstRowFirstColumn="0" w:firstRowLastColumn="0" w:lastRowFirstColumn="0" w:lastRowLastColumn="0"/>
            </w:pPr>
            <w:r>
              <w:t>Low</w:t>
            </w:r>
          </w:p>
        </w:tc>
        <w:tc>
          <w:tcPr>
            <w:tcW w:w="1503" w:type="dxa"/>
          </w:tcPr>
          <w:p w14:paraId="5FD1DD60" w14:textId="7D3DDB3B" w:rsidR="000C53DA" w:rsidRDefault="000C53DA" w:rsidP="000C53DA">
            <w:pPr>
              <w:cnfStyle w:val="000000000000" w:firstRow="0" w:lastRow="0" w:firstColumn="0" w:lastColumn="0" w:oddVBand="0" w:evenVBand="0" w:oddHBand="0" w:evenHBand="0" w:firstRowFirstColumn="0" w:firstRowLastColumn="0" w:lastRowFirstColumn="0" w:lastRowLastColumn="0"/>
            </w:pPr>
            <w:r>
              <w:t>N/A</w:t>
            </w:r>
          </w:p>
        </w:tc>
        <w:tc>
          <w:tcPr>
            <w:tcW w:w="6192" w:type="dxa"/>
          </w:tcPr>
          <w:p w14:paraId="11268498" w14:textId="49106B48" w:rsidR="000C53DA" w:rsidRDefault="000C53DA" w:rsidP="000C53DA">
            <w:pPr>
              <w:cnfStyle w:val="000000000000" w:firstRow="0" w:lastRow="0" w:firstColumn="0" w:lastColumn="0" w:oddVBand="0" w:evenVBand="0" w:oddHBand="0" w:evenHBand="0" w:firstRowFirstColumn="0" w:firstRowLastColumn="0" w:lastRowFirstColumn="0" w:lastRowLastColumn="0"/>
            </w:pPr>
            <w:r>
              <w:t xml:space="preserve">Winter stubble with exposed earth. </w:t>
            </w:r>
          </w:p>
        </w:tc>
        <w:tc>
          <w:tcPr>
            <w:cnfStyle w:val="000100000000" w:firstRow="0" w:lastRow="0" w:firstColumn="0" w:lastColumn="1" w:oddVBand="0" w:evenVBand="0" w:oddHBand="0" w:evenHBand="0" w:firstRowFirstColumn="0" w:firstRowLastColumn="0" w:lastRowFirstColumn="0" w:lastRowLastColumn="0"/>
            <w:tcW w:w="2739" w:type="dxa"/>
          </w:tcPr>
          <w:p w14:paraId="0DB97118" w14:textId="753753E7" w:rsidR="000C53DA" w:rsidRPr="00252166" w:rsidRDefault="000C53DA" w:rsidP="000C53DA">
            <w:r w:rsidRPr="00252166">
              <w:t>Area/compensation not in local strategy/ no local strategy</w:t>
            </w:r>
          </w:p>
        </w:tc>
      </w:tr>
      <w:tr w:rsidR="00327FF2" w14:paraId="7BE46F50" w14:textId="438F5BB4"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71FE0080" w14:textId="1136D4AA" w:rsidR="000C53DA" w:rsidRDefault="0005606D" w:rsidP="000C53DA">
            <w:r>
              <w:t>g</w:t>
            </w:r>
            <w:r w:rsidR="000C53DA">
              <w:t>4 Modified grassland</w:t>
            </w:r>
          </w:p>
        </w:tc>
        <w:tc>
          <w:tcPr>
            <w:tcW w:w="1044" w:type="dxa"/>
          </w:tcPr>
          <w:p w14:paraId="38663200" w14:textId="13B7C48A" w:rsidR="000C53DA" w:rsidRDefault="0005606D" w:rsidP="000C53DA">
            <w:pPr>
              <w:cnfStyle w:val="000000100000" w:firstRow="0" w:lastRow="0" w:firstColumn="0" w:lastColumn="0" w:oddVBand="0" w:evenVBand="0" w:oddHBand="1" w:evenHBand="0" w:firstRowFirstColumn="0" w:firstRowLastColumn="0" w:lastRowFirstColumn="0" w:lastRowLastColumn="0"/>
            </w:pPr>
            <w:r>
              <w:t>0.33</w:t>
            </w:r>
          </w:p>
        </w:tc>
        <w:tc>
          <w:tcPr>
            <w:tcW w:w="1715" w:type="dxa"/>
          </w:tcPr>
          <w:p w14:paraId="439906FC" w14:textId="7984639C" w:rsidR="000C53DA" w:rsidRDefault="000C53DA" w:rsidP="000C53DA">
            <w:pPr>
              <w:cnfStyle w:val="000000100000" w:firstRow="0" w:lastRow="0" w:firstColumn="0" w:lastColumn="0" w:oddVBand="0" w:evenVBand="0" w:oddHBand="1" w:evenHBand="0" w:firstRowFirstColumn="0" w:firstRowLastColumn="0" w:lastRowFirstColumn="0" w:lastRowLastColumn="0"/>
            </w:pPr>
            <w:r>
              <w:t>Low</w:t>
            </w:r>
          </w:p>
        </w:tc>
        <w:tc>
          <w:tcPr>
            <w:tcW w:w="1503" w:type="dxa"/>
          </w:tcPr>
          <w:p w14:paraId="60ADDB58" w14:textId="76F8E4D1" w:rsidR="000C53DA" w:rsidRDefault="000C53DA" w:rsidP="000C53DA">
            <w:pPr>
              <w:cnfStyle w:val="000000100000" w:firstRow="0" w:lastRow="0" w:firstColumn="0" w:lastColumn="0" w:oddVBand="0" w:evenVBand="0" w:oddHBand="1" w:evenHBand="0" w:firstRowFirstColumn="0" w:firstRowLastColumn="0" w:lastRowFirstColumn="0" w:lastRowLastColumn="0"/>
            </w:pPr>
            <w:r>
              <w:t>Poor</w:t>
            </w:r>
          </w:p>
        </w:tc>
        <w:tc>
          <w:tcPr>
            <w:tcW w:w="6192" w:type="dxa"/>
          </w:tcPr>
          <w:p w14:paraId="48C5123E" w14:textId="77777777" w:rsidR="00BF35E5" w:rsidRDefault="000C53DA" w:rsidP="000C53DA">
            <w:pPr>
              <w:cnfStyle w:val="000000100000" w:firstRow="0" w:lastRow="0" w:firstColumn="0" w:lastColumn="0" w:oddVBand="0" w:evenVBand="0" w:oddHBand="1" w:evenHBand="0" w:firstRowFirstColumn="0" w:firstRowLastColumn="0" w:lastRowFirstColumn="0" w:lastRowLastColumn="0"/>
            </w:pPr>
            <w:r>
              <w:t>Field margins consisted of modified grassland, all of which was short with low species diversity, dominated by p</w:t>
            </w:r>
            <w:r w:rsidRPr="00B75FA9">
              <w:t xml:space="preserve">erennial </w:t>
            </w:r>
            <w:proofErr w:type="gramStart"/>
            <w:r w:rsidRPr="00B75FA9">
              <w:t>rye</w:t>
            </w:r>
            <w:r w:rsidR="00157603">
              <w:t>-</w:t>
            </w:r>
            <w:r>
              <w:t>grass</w:t>
            </w:r>
            <w:proofErr w:type="gramEnd"/>
            <w:r>
              <w:t xml:space="preserve"> </w:t>
            </w:r>
            <w:r>
              <w:rPr>
                <w:i/>
                <w:iCs/>
              </w:rPr>
              <w:t xml:space="preserve">Lolium </w:t>
            </w:r>
            <w:proofErr w:type="spellStart"/>
            <w:r>
              <w:rPr>
                <w:i/>
                <w:iCs/>
              </w:rPr>
              <w:t>perenne</w:t>
            </w:r>
            <w:proofErr w:type="spellEnd"/>
            <w:r w:rsidR="00B53647">
              <w:t xml:space="preserve"> with </w:t>
            </w:r>
            <w:proofErr w:type="gramStart"/>
            <w:r w:rsidR="00B53647">
              <w:t xml:space="preserve">abundant </w:t>
            </w:r>
            <w:r>
              <w:t xml:space="preserve"> common</w:t>
            </w:r>
            <w:proofErr w:type="gramEnd"/>
            <w:r>
              <w:t xml:space="preserve"> nettle</w:t>
            </w:r>
            <w:r w:rsidR="00E37E13">
              <w:t xml:space="preserve"> </w:t>
            </w:r>
            <w:r w:rsidR="00E37E13" w:rsidRPr="00E37E13">
              <w:rPr>
                <w:i/>
                <w:iCs/>
              </w:rPr>
              <w:t>Urtica dioica</w:t>
            </w:r>
            <w:r w:rsidR="00BF35E5">
              <w:rPr>
                <w:i/>
                <w:iCs/>
              </w:rPr>
              <w:t>.</w:t>
            </w:r>
            <w:r>
              <w:t xml:space="preserve"> </w:t>
            </w:r>
          </w:p>
          <w:p w14:paraId="08C4AB18" w14:textId="773EBC3E" w:rsidR="00BF35E5" w:rsidRPr="00E47FDE" w:rsidRDefault="00BF35E5" w:rsidP="000C53DA">
            <w:pPr>
              <w:cnfStyle w:val="000000100000" w:firstRow="0" w:lastRow="0" w:firstColumn="0" w:lastColumn="0" w:oddVBand="0" w:evenVBand="0" w:oddHBand="1" w:evenHBand="0" w:firstRowFirstColumn="0" w:firstRowLastColumn="0" w:lastRowFirstColumn="0" w:lastRowLastColumn="0"/>
            </w:pPr>
            <w:r>
              <w:t>D</w:t>
            </w:r>
            <w:r w:rsidR="00157603" w:rsidRPr="00157603">
              <w:t>ove</w:t>
            </w:r>
            <w:r w:rsidR="005232F1">
              <w:t>’</w:t>
            </w:r>
            <w:r w:rsidR="00157603" w:rsidRPr="00157603">
              <w:t>s</w:t>
            </w:r>
            <w:r w:rsidR="005232F1">
              <w:t>-</w:t>
            </w:r>
            <w:r w:rsidR="00157603" w:rsidRPr="00157603">
              <w:t>foot cranes</w:t>
            </w:r>
            <w:r w:rsidR="005232F1">
              <w:t>-</w:t>
            </w:r>
            <w:r w:rsidR="00157603" w:rsidRPr="00157603">
              <w:t>bill</w:t>
            </w:r>
            <w:r w:rsidR="005232F1">
              <w:t xml:space="preserve"> </w:t>
            </w:r>
            <w:r w:rsidR="005232F1" w:rsidRPr="005232F1">
              <w:rPr>
                <w:i/>
                <w:iCs/>
              </w:rPr>
              <w:t>Geranium molle</w:t>
            </w:r>
            <w:r w:rsidR="005232F1">
              <w:t xml:space="preserve">, cleavers </w:t>
            </w:r>
            <w:proofErr w:type="spellStart"/>
            <w:r w:rsidR="004773F0" w:rsidRPr="004E7B32">
              <w:rPr>
                <w:i/>
                <w:iCs/>
              </w:rPr>
              <w:t>Galium</w:t>
            </w:r>
            <w:proofErr w:type="spellEnd"/>
            <w:r w:rsidR="004773F0" w:rsidRPr="004E7B32">
              <w:rPr>
                <w:i/>
                <w:iCs/>
              </w:rPr>
              <w:t xml:space="preserve"> aparine</w:t>
            </w:r>
            <w:r w:rsidR="004773F0" w:rsidRPr="004773F0">
              <w:t xml:space="preserve"> </w:t>
            </w:r>
            <w:r w:rsidR="004773F0">
              <w:t xml:space="preserve">and </w:t>
            </w:r>
            <w:r w:rsidR="00157603" w:rsidRPr="00157603">
              <w:t xml:space="preserve">Bristly oxtongue </w:t>
            </w:r>
            <w:proofErr w:type="spellStart"/>
            <w:r w:rsidR="004E7B32" w:rsidRPr="004E7B32">
              <w:rPr>
                <w:i/>
                <w:iCs/>
              </w:rPr>
              <w:t>Helminthotheca</w:t>
            </w:r>
            <w:proofErr w:type="spellEnd"/>
            <w:r w:rsidR="004E7B32" w:rsidRPr="004E7B32">
              <w:rPr>
                <w:i/>
                <w:iCs/>
              </w:rPr>
              <w:t xml:space="preserve"> </w:t>
            </w:r>
            <w:proofErr w:type="gramStart"/>
            <w:r w:rsidR="004E7B32" w:rsidRPr="004E7B32">
              <w:rPr>
                <w:i/>
                <w:iCs/>
              </w:rPr>
              <w:t>echioides</w:t>
            </w:r>
            <w:r w:rsidR="004E7B32">
              <w:rPr>
                <w:i/>
                <w:iCs/>
              </w:rPr>
              <w:t xml:space="preserve"> </w:t>
            </w:r>
            <w:r w:rsidR="004E7B32">
              <w:t xml:space="preserve"> were</w:t>
            </w:r>
            <w:proofErr w:type="gramEnd"/>
            <w:r w:rsidR="004E7B32">
              <w:t xml:space="preserve"> recorded occasionally with small amounts of </w:t>
            </w:r>
            <w:r w:rsidR="00A5604D">
              <w:t xml:space="preserve">herb Robert </w:t>
            </w:r>
            <w:r w:rsidR="00A5604D" w:rsidRPr="00A5604D">
              <w:rPr>
                <w:i/>
                <w:iCs/>
              </w:rPr>
              <w:t xml:space="preserve">Geranium </w:t>
            </w:r>
            <w:proofErr w:type="spellStart"/>
            <w:r w:rsidR="00A5604D" w:rsidRPr="00A5604D">
              <w:rPr>
                <w:i/>
                <w:iCs/>
              </w:rPr>
              <w:t>robertianum</w:t>
            </w:r>
            <w:proofErr w:type="spellEnd"/>
            <w:r w:rsidR="00A5604D">
              <w:t xml:space="preserve">. </w:t>
            </w:r>
          </w:p>
        </w:tc>
        <w:tc>
          <w:tcPr>
            <w:cnfStyle w:val="000100000000" w:firstRow="0" w:lastRow="0" w:firstColumn="0" w:lastColumn="1" w:oddVBand="0" w:evenVBand="0" w:oddHBand="0" w:evenHBand="0" w:firstRowFirstColumn="0" w:firstRowLastColumn="0" w:lastRowFirstColumn="0" w:lastRowLastColumn="0"/>
            <w:tcW w:w="2739" w:type="dxa"/>
          </w:tcPr>
          <w:p w14:paraId="6DBDEFF0" w14:textId="44773BF5" w:rsidR="000C53DA" w:rsidRDefault="0005606D" w:rsidP="000C53DA">
            <w:r w:rsidRPr="00252166">
              <w:t>Formally identified in local strategy</w:t>
            </w:r>
            <w:r>
              <w:t>, see strategic significance section for further information.</w:t>
            </w:r>
          </w:p>
        </w:tc>
      </w:tr>
      <w:tr w:rsidR="00327FF2" w14:paraId="5D4A3FFE" w14:textId="69D1F3BA" w:rsidTr="00AE1D4C">
        <w:tc>
          <w:tcPr>
            <w:cnfStyle w:val="001000000000" w:firstRow="0" w:lastRow="0" w:firstColumn="1" w:lastColumn="0" w:oddVBand="0" w:evenVBand="0" w:oddHBand="0" w:evenHBand="0" w:firstRowFirstColumn="0" w:firstRowLastColumn="0" w:lastRowFirstColumn="0" w:lastRowLastColumn="0"/>
            <w:tcW w:w="1403" w:type="dxa"/>
          </w:tcPr>
          <w:p w14:paraId="058F47BA" w14:textId="0AC61E08" w:rsidR="00C31E0D" w:rsidRDefault="00C31E0D" w:rsidP="00C31E0D">
            <w:r>
              <w:lastRenderedPageBreak/>
              <w:t>g4 Modified grassland</w:t>
            </w:r>
          </w:p>
        </w:tc>
        <w:tc>
          <w:tcPr>
            <w:tcW w:w="1044" w:type="dxa"/>
          </w:tcPr>
          <w:p w14:paraId="64BF6131" w14:textId="5FDB1816" w:rsidR="00C31E0D" w:rsidRDefault="00C31E0D" w:rsidP="00C31E0D">
            <w:pPr>
              <w:cnfStyle w:val="000000000000" w:firstRow="0" w:lastRow="0" w:firstColumn="0" w:lastColumn="0" w:oddVBand="0" w:evenVBand="0" w:oddHBand="0" w:evenHBand="0" w:firstRowFirstColumn="0" w:firstRowLastColumn="0" w:lastRowFirstColumn="0" w:lastRowLastColumn="0"/>
            </w:pPr>
            <w:r>
              <w:t>0.</w:t>
            </w:r>
            <w:r>
              <w:t>26</w:t>
            </w:r>
          </w:p>
        </w:tc>
        <w:tc>
          <w:tcPr>
            <w:tcW w:w="1715" w:type="dxa"/>
          </w:tcPr>
          <w:p w14:paraId="1D007E9A" w14:textId="6CDBD8F8" w:rsidR="00C31E0D" w:rsidRDefault="00C31E0D" w:rsidP="00C31E0D">
            <w:pPr>
              <w:cnfStyle w:val="000000000000" w:firstRow="0" w:lastRow="0" w:firstColumn="0" w:lastColumn="0" w:oddVBand="0" w:evenVBand="0" w:oddHBand="0" w:evenHBand="0" w:firstRowFirstColumn="0" w:firstRowLastColumn="0" w:lastRowFirstColumn="0" w:lastRowLastColumn="0"/>
            </w:pPr>
            <w:r>
              <w:t>Low</w:t>
            </w:r>
          </w:p>
        </w:tc>
        <w:tc>
          <w:tcPr>
            <w:tcW w:w="1503" w:type="dxa"/>
          </w:tcPr>
          <w:p w14:paraId="37059FB4" w14:textId="5BD34440" w:rsidR="00C31E0D" w:rsidRDefault="00C31E0D" w:rsidP="00C31E0D">
            <w:pPr>
              <w:cnfStyle w:val="000000000000" w:firstRow="0" w:lastRow="0" w:firstColumn="0" w:lastColumn="0" w:oddVBand="0" w:evenVBand="0" w:oddHBand="0" w:evenHBand="0" w:firstRowFirstColumn="0" w:firstRowLastColumn="0" w:lastRowFirstColumn="0" w:lastRowLastColumn="0"/>
            </w:pPr>
            <w:r>
              <w:t>Poor</w:t>
            </w:r>
          </w:p>
        </w:tc>
        <w:tc>
          <w:tcPr>
            <w:tcW w:w="6192" w:type="dxa"/>
          </w:tcPr>
          <w:p w14:paraId="6DCC9A59" w14:textId="0D37FFD2" w:rsidR="00C31E0D" w:rsidRPr="002A69F7" w:rsidRDefault="00C31E0D" w:rsidP="00C31E0D">
            <w:pPr>
              <w:cnfStyle w:val="000000000000" w:firstRow="0" w:lastRow="0" w:firstColumn="0" w:lastColumn="0" w:oddVBand="0" w:evenVBand="0" w:oddHBand="0" w:evenHBand="0" w:firstRowFirstColumn="0" w:firstRowLastColumn="0" w:lastRowFirstColumn="0" w:lastRowLastColumn="0"/>
            </w:pPr>
            <w:r>
              <w:t>As above</w:t>
            </w:r>
          </w:p>
        </w:tc>
        <w:tc>
          <w:tcPr>
            <w:cnfStyle w:val="000100000000" w:firstRow="0" w:lastRow="0" w:firstColumn="0" w:lastColumn="1" w:oddVBand="0" w:evenVBand="0" w:oddHBand="0" w:evenHBand="0" w:firstRowFirstColumn="0" w:firstRowLastColumn="0" w:lastRowFirstColumn="0" w:lastRowLastColumn="0"/>
            <w:tcW w:w="2739" w:type="dxa"/>
          </w:tcPr>
          <w:p w14:paraId="36801C49" w14:textId="0AD2DC3D" w:rsidR="00C31E0D" w:rsidRDefault="00C31E0D" w:rsidP="00C31E0D">
            <w:r w:rsidRPr="00252166">
              <w:t>Area/compensation not in local strategy/ no local strategy</w:t>
            </w:r>
          </w:p>
        </w:tc>
      </w:tr>
      <w:tr w:rsidR="00327FF2" w14:paraId="77591EEB" w14:textId="746ED127"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485D043" w14:textId="1D44E536" w:rsidR="00E16F1A" w:rsidRDefault="00E16F1A" w:rsidP="00E16F1A">
            <w:r>
              <w:t>h2a Native Hedgerow with trees</w:t>
            </w:r>
          </w:p>
        </w:tc>
        <w:tc>
          <w:tcPr>
            <w:tcW w:w="1044" w:type="dxa"/>
          </w:tcPr>
          <w:p w14:paraId="1C935DC7" w14:textId="0036D8C0" w:rsidR="00E16F1A" w:rsidRDefault="00E16F1A" w:rsidP="00E16F1A">
            <w:pPr>
              <w:cnfStyle w:val="000000100000" w:firstRow="0" w:lastRow="0" w:firstColumn="0" w:lastColumn="0" w:oddVBand="0" w:evenVBand="0" w:oddHBand="1" w:evenHBand="0" w:firstRowFirstColumn="0" w:firstRowLastColumn="0" w:lastRowFirstColumn="0" w:lastRowLastColumn="0"/>
            </w:pPr>
            <w:r>
              <w:t>0.222</w:t>
            </w:r>
          </w:p>
        </w:tc>
        <w:tc>
          <w:tcPr>
            <w:tcW w:w="1715" w:type="dxa"/>
          </w:tcPr>
          <w:p w14:paraId="5C81610D" w14:textId="5658FC5A" w:rsidR="00E16F1A" w:rsidRDefault="00E16F1A" w:rsidP="00E16F1A">
            <w:pPr>
              <w:cnfStyle w:val="000000100000" w:firstRow="0" w:lastRow="0" w:firstColumn="0" w:lastColumn="0" w:oddVBand="0" w:evenVBand="0" w:oddHBand="1" w:evenHBand="0" w:firstRowFirstColumn="0" w:firstRowLastColumn="0" w:lastRowFirstColumn="0" w:lastRowLastColumn="0"/>
            </w:pPr>
            <w:r>
              <w:t>Medium</w:t>
            </w:r>
          </w:p>
        </w:tc>
        <w:tc>
          <w:tcPr>
            <w:tcW w:w="1503" w:type="dxa"/>
          </w:tcPr>
          <w:p w14:paraId="6A750DAE" w14:textId="3CEDE3A0" w:rsidR="00E16F1A" w:rsidRDefault="00E16F1A" w:rsidP="00E16F1A">
            <w:pPr>
              <w:cnfStyle w:val="000000100000" w:firstRow="0" w:lastRow="0" w:firstColumn="0" w:lastColumn="0" w:oddVBand="0" w:evenVBand="0" w:oddHBand="1" w:evenHBand="0" w:firstRowFirstColumn="0" w:firstRowLastColumn="0" w:lastRowFirstColumn="0" w:lastRowLastColumn="0"/>
            </w:pPr>
            <w:r>
              <w:t>Good</w:t>
            </w:r>
          </w:p>
        </w:tc>
        <w:tc>
          <w:tcPr>
            <w:tcW w:w="6192" w:type="dxa"/>
          </w:tcPr>
          <w:p w14:paraId="73FBA063" w14:textId="2071BCFE" w:rsidR="00E16F1A" w:rsidRDefault="00E16F1A" w:rsidP="00E16F1A">
            <w:pPr>
              <w:cnfStyle w:val="000000100000" w:firstRow="0" w:lastRow="0" w:firstColumn="0" w:lastColumn="0" w:oddVBand="0" w:evenVBand="0" w:oddHBand="1" w:evenHBand="0" w:firstRowFirstColumn="0" w:firstRowLastColumn="0" w:lastRowFirstColumn="0" w:lastRowLastColumn="0"/>
            </w:pPr>
            <w:r>
              <w:t xml:space="preserve">Hawthorn </w:t>
            </w:r>
            <w:r w:rsidR="00084210" w:rsidRPr="00FC6DF3">
              <w:rPr>
                <w:i/>
                <w:iCs/>
              </w:rPr>
              <w:t>Crataegus monogyna</w:t>
            </w:r>
            <w:r w:rsidR="00084210">
              <w:rPr>
                <w:i/>
                <w:iCs/>
              </w:rPr>
              <w:t xml:space="preserve"> </w:t>
            </w:r>
            <w:r>
              <w:t>hedgerow with dogwood</w:t>
            </w:r>
            <w:r w:rsidR="00707BBB">
              <w:t xml:space="preserve"> </w:t>
            </w:r>
            <w:proofErr w:type="gramStart"/>
            <w:r w:rsidR="00707BBB">
              <w:t>C</w:t>
            </w:r>
            <w:r w:rsidR="00707BBB" w:rsidRPr="00707BBB">
              <w:rPr>
                <w:i/>
                <w:iCs/>
              </w:rPr>
              <w:t>ornus</w:t>
            </w:r>
            <w:proofErr w:type="gramEnd"/>
            <w:r w:rsidR="00707BBB" w:rsidRPr="00707BBB">
              <w:rPr>
                <w:i/>
                <w:iCs/>
              </w:rPr>
              <w:t xml:space="preserve"> sanguinea</w:t>
            </w:r>
            <w:r>
              <w:t xml:space="preserve"> and blackthorn</w:t>
            </w:r>
            <w:r w:rsidR="00327FF2">
              <w:t xml:space="preserve"> </w:t>
            </w:r>
            <w:r w:rsidR="00327FF2">
              <w:rPr>
                <w:i/>
                <w:iCs/>
              </w:rPr>
              <w:t>Prunus spinosa</w:t>
            </w:r>
            <w:r>
              <w:t xml:space="preserve"> also present. Tree species include </w:t>
            </w:r>
            <w:r w:rsidR="00A90D25">
              <w:t>18</w:t>
            </w:r>
            <w:r w:rsidR="005A2AA8">
              <w:t xml:space="preserve"> young/semi mature </w:t>
            </w:r>
            <w:r>
              <w:t>field maple</w:t>
            </w:r>
            <w:r w:rsidR="00F374F0">
              <w:t xml:space="preserve"> </w:t>
            </w:r>
            <w:r w:rsidR="00F374F0" w:rsidRPr="00F374F0">
              <w:rPr>
                <w:i/>
                <w:iCs/>
              </w:rPr>
              <w:t>Acer campestre</w:t>
            </w:r>
            <w:r w:rsidR="005A2AA8">
              <w:t xml:space="preserve"> and </w:t>
            </w:r>
            <w:r>
              <w:t>ash</w:t>
            </w:r>
            <w:r w:rsidR="00F374F0">
              <w:t xml:space="preserve"> </w:t>
            </w:r>
            <w:r w:rsidR="00F374F0" w:rsidRPr="00F374F0">
              <w:rPr>
                <w:i/>
                <w:iCs/>
              </w:rPr>
              <w:t>Fraxinus excelsior</w:t>
            </w:r>
            <w:r>
              <w:t xml:space="preserve"> and </w:t>
            </w:r>
            <w:r w:rsidR="005A2AA8">
              <w:t xml:space="preserve">a single mature </w:t>
            </w:r>
            <w:r>
              <w:t>oak</w:t>
            </w:r>
            <w:r w:rsidR="001205B5">
              <w:t xml:space="preserve"> </w:t>
            </w:r>
            <w:r w:rsidR="001205B5" w:rsidRPr="001205B5">
              <w:rPr>
                <w:i/>
                <w:iCs/>
              </w:rPr>
              <w:t xml:space="preserve">Quercus </w:t>
            </w:r>
            <w:proofErr w:type="spellStart"/>
            <w:r w:rsidR="001205B5" w:rsidRPr="001205B5">
              <w:rPr>
                <w:i/>
                <w:iCs/>
              </w:rPr>
              <w:t>robur</w:t>
            </w:r>
            <w:proofErr w:type="spellEnd"/>
            <w:r w:rsidR="005A2AA8">
              <w:t>.</w:t>
            </w:r>
          </w:p>
          <w:p w14:paraId="49A21871" w14:textId="77777777" w:rsidR="00E16F1A" w:rsidRDefault="00E16F1A" w:rsidP="00E16F1A">
            <w:pPr>
              <w:cnfStyle w:val="000000100000" w:firstRow="0" w:lastRow="0" w:firstColumn="0" w:lastColumn="0" w:oddVBand="0" w:evenVBand="0" w:oddHBand="1" w:evenHBand="0" w:firstRowFirstColumn="0" w:firstRowLastColumn="0" w:lastRowFirstColumn="0" w:lastRowLastColumn="0"/>
            </w:pPr>
          </w:p>
          <w:p w14:paraId="279AC3E0" w14:textId="6B19642F" w:rsidR="00E16F1A" w:rsidRPr="000401E6" w:rsidRDefault="00E16F1A" w:rsidP="00E16F1A">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39" w:type="dxa"/>
          </w:tcPr>
          <w:p w14:paraId="5A5AB88E" w14:textId="20E839CC" w:rsidR="00E16F1A" w:rsidRDefault="00E16F1A" w:rsidP="00E16F1A">
            <w:r w:rsidRPr="00E27843">
              <w:t>Area/compensation not in local strategy/ no local strategy</w:t>
            </w:r>
          </w:p>
        </w:tc>
      </w:tr>
      <w:tr w:rsidR="00AE1D4C" w14:paraId="0E1262B6" w14:textId="77777777" w:rsidTr="00AE1D4C">
        <w:tc>
          <w:tcPr>
            <w:cnfStyle w:val="001000000000" w:firstRow="0" w:lastRow="0" w:firstColumn="1" w:lastColumn="0" w:oddVBand="0" w:evenVBand="0" w:oddHBand="0" w:evenHBand="0" w:firstRowFirstColumn="0" w:firstRowLastColumn="0" w:lastRowFirstColumn="0" w:lastRowLastColumn="0"/>
            <w:tcW w:w="1403" w:type="dxa"/>
          </w:tcPr>
          <w:p w14:paraId="54B5C855" w14:textId="00A444B7" w:rsidR="00E16F1A" w:rsidRPr="00F16748" w:rsidRDefault="00E16F1A" w:rsidP="00E16F1A">
            <w:pPr>
              <w:rPr>
                <w:vertAlign w:val="superscript"/>
              </w:rPr>
            </w:pPr>
            <w:r>
              <w:t>h2a Native Hedgerow with trees</w:t>
            </w:r>
            <w:r>
              <w:t xml:space="preserve"> – associated with ditch</w:t>
            </w:r>
            <w:r w:rsidR="00F16748">
              <w:rPr>
                <w:vertAlign w:val="superscript"/>
              </w:rPr>
              <w:t>1</w:t>
            </w:r>
          </w:p>
        </w:tc>
        <w:tc>
          <w:tcPr>
            <w:tcW w:w="1044" w:type="dxa"/>
          </w:tcPr>
          <w:p w14:paraId="5CD33B58" w14:textId="055C1B9B" w:rsidR="00E16F1A" w:rsidRDefault="00E16F1A" w:rsidP="00E16F1A">
            <w:pPr>
              <w:cnfStyle w:val="000000000000" w:firstRow="0" w:lastRow="0" w:firstColumn="0" w:lastColumn="0" w:oddVBand="0" w:evenVBand="0" w:oddHBand="0" w:evenHBand="0" w:firstRowFirstColumn="0" w:firstRowLastColumn="0" w:lastRowFirstColumn="0" w:lastRowLastColumn="0"/>
            </w:pPr>
            <w:r>
              <w:t>0.109</w:t>
            </w:r>
          </w:p>
        </w:tc>
        <w:tc>
          <w:tcPr>
            <w:tcW w:w="1715" w:type="dxa"/>
          </w:tcPr>
          <w:p w14:paraId="2E989056" w14:textId="3C6A448F" w:rsidR="00E16F1A" w:rsidRDefault="00E16F1A" w:rsidP="00E16F1A">
            <w:pPr>
              <w:cnfStyle w:val="000000000000" w:firstRow="0" w:lastRow="0" w:firstColumn="0" w:lastColumn="0" w:oddVBand="0" w:evenVBand="0" w:oddHBand="0" w:evenHBand="0" w:firstRowFirstColumn="0" w:firstRowLastColumn="0" w:lastRowFirstColumn="0" w:lastRowLastColumn="0"/>
            </w:pPr>
            <w:r>
              <w:t>High</w:t>
            </w:r>
          </w:p>
        </w:tc>
        <w:tc>
          <w:tcPr>
            <w:tcW w:w="1503" w:type="dxa"/>
          </w:tcPr>
          <w:p w14:paraId="2DE60644" w14:textId="75E68A14" w:rsidR="00E16F1A" w:rsidRDefault="00E16F1A" w:rsidP="00E16F1A">
            <w:pPr>
              <w:cnfStyle w:val="000000000000" w:firstRow="0" w:lastRow="0" w:firstColumn="0" w:lastColumn="0" w:oddVBand="0" w:evenVBand="0" w:oddHBand="0" w:evenHBand="0" w:firstRowFirstColumn="0" w:firstRowLastColumn="0" w:lastRowFirstColumn="0" w:lastRowLastColumn="0"/>
            </w:pPr>
            <w:r>
              <w:t>Good</w:t>
            </w:r>
          </w:p>
        </w:tc>
        <w:tc>
          <w:tcPr>
            <w:tcW w:w="6192" w:type="dxa"/>
          </w:tcPr>
          <w:p w14:paraId="6C8B1C11" w14:textId="30736DDD" w:rsidR="00E16F1A" w:rsidRDefault="00E16F1A" w:rsidP="00E16F1A">
            <w:pPr>
              <w:cnfStyle w:val="000000000000" w:firstRow="0" w:lastRow="0" w:firstColumn="0" w:lastColumn="0" w:oddVBand="0" w:evenVBand="0" w:oddHBand="0" w:evenHBand="0" w:firstRowFirstColumn="0" w:firstRowLastColumn="0" w:lastRowFirstColumn="0" w:lastRowLastColumn="0"/>
            </w:pPr>
            <w:r>
              <w:t xml:space="preserve">Hawthorn hedgerow with occasional wild privet </w:t>
            </w:r>
            <w:r w:rsidRPr="00111392">
              <w:rPr>
                <w:i/>
                <w:iCs/>
              </w:rPr>
              <w:t>Ligustrum vulgare</w:t>
            </w:r>
            <w:r w:rsidR="00CF1F87">
              <w:rPr>
                <w:i/>
                <w:iCs/>
              </w:rPr>
              <w:t>,</w:t>
            </w:r>
            <w:r>
              <w:t xml:space="preserve"> field elm </w:t>
            </w:r>
            <w:r>
              <w:rPr>
                <w:i/>
                <w:iCs/>
              </w:rPr>
              <w:t xml:space="preserve">Ulmus minor </w:t>
            </w:r>
            <w:r>
              <w:t xml:space="preserve">and bramble </w:t>
            </w:r>
            <w:r w:rsidRPr="00E84765">
              <w:rPr>
                <w:i/>
                <w:iCs/>
              </w:rPr>
              <w:t xml:space="preserve">Rubus </w:t>
            </w:r>
            <w:proofErr w:type="spellStart"/>
            <w:r w:rsidRPr="00E84765">
              <w:rPr>
                <w:i/>
                <w:iCs/>
              </w:rPr>
              <w:t>fruticosus</w:t>
            </w:r>
            <w:proofErr w:type="spellEnd"/>
            <w:r>
              <w:t xml:space="preserve">. Also contains semi-mature horse chestnut </w:t>
            </w:r>
            <w:r w:rsidRPr="00224DCD">
              <w:rPr>
                <w:i/>
                <w:iCs/>
              </w:rPr>
              <w:t>Aesculus hippocastanum</w:t>
            </w:r>
            <w:r>
              <w:t xml:space="preserve"> trees.</w:t>
            </w:r>
          </w:p>
        </w:tc>
        <w:tc>
          <w:tcPr>
            <w:cnfStyle w:val="000100000000" w:firstRow="0" w:lastRow="0" w:firstColumn="0" w:lastColumn="1" w:oddVBand="0" w:evenVBand="0" w:oddHBand="0" w:evenHBand="0" w:firstRowFirstColumn="0" w:firstRowLastColumn="0" w:lastRowFirstColumn="0" w:lastRowLastColumn="0"/>
            <w:tcW w:w="2739" w:type="dxa"/>
          </w:tcPr>
          <w:p w14:paraId="2FC0AF50" w14:textId="2969FEFF" w:rsidR="00E16F1A" w:rsidRDefault="00E16F1A" w:rsidP="00E16F1A">
            <w:r w:rsidRPr="00E27843">
              <w:t>Formally identified in local strategy</w:t>
            </w:r>
          </w:p>
        </w:tc>
      </w:tr>
      <w:tr w:rsidR="00327FF2" w14:paraId="65972730" w14:textId="7178BBC8"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B073F6E" w14:textId="41856F36" w:rsidR="00E16F1A" w:rsidRPr="00B75FA9" w:rsidRDefault="00E16F1A" w:rsidP="00E16F1A">
            <w:r>
              <w:t xml:space="preserve">h2a </w:t>
            </w:r>
            <w:r>
              <w:t>Native hedgerow with trees</w:t>
            </w:r>
            <w:r w:rsidR="00F16748">
              <w:rPr>
                <w:vertAlign w:val="superscript"/>
              </w:rPr>
              <w:t>1</w:t>
            </w:r>
          </w:p>
        </w:tc>
        <w:tc>
          <w:tcPr>
            <w:tcW w:w="1044" w:type="dxa"/>
          </w:tcPr>
          <w:p w14:paraId="10193DD3" w14:textId="2DC79071"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0.203</w:t>
            </w:r>
          </w:p>
        </w:tc>
        <w:tc>
          <w:tcPr>
            <w:tcW w:w="1715" w:type="dxa"/>
          </w:tcPr>
          <w:p w14:paraId="336579A1" w14:textId="18902A4D"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Medium</w:t>
            </w:r>
          </w:p>
        </w:tc>
        <w:tc>
          <w:tcPr>
            <w:tcW w:w="1503" w:type="dxa"/>
          </w:tcPr>
          <w:p w14:paraId="56F7F53F" w14:textId="13B3F11B"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Good</w:t>
            </w:r>
          </w:p>
        </w:tc>
        <w:tc>
          <w:tcPr>
            <w:tcW w:w="6192" w:type="dxa"/>
          </w:tcPr>
          <w:p w14:paraId="018850FA" w14:textId="64CAAC37" w:rsidR="00E16F1A" w:rsidRPr="002A69F7" w:rsidRDefault="00F07BA2" w:rsidP="00E16F1A">
            <w:pPr>
              <w:cnfStyle w:val="000000100000" w:firstRow="0" w:lastRow="0" w:firstColumn="0" w:lastColumn="0" w:oddVBand="0" w:evenVBand="0" w:oddHBand="1" w:evenHBand="0" w:firstRowFirstColumn="0" w:firstRowLastColumn="0" w:lastRowFirstColumn="0" w:lastRowLastColumn="0"/>
            </w:pPr>
            <w:r w:rsidRPr="00F07BA2">
              <w:t xml:space="preserve">Hawthorn </w:t>
            </w:r>
            <w:r>
              <w:t xml:space="preserve">hedgerow with </w:t>
            </w:r>
            <w:r w:rsidRPr="00F07BA2">
              <w:t>blackthorn, ivy</w:t>
            </w:r>
            <w:r w:rsidR="00E9261C">
              <w:t xml:space="preserve"> </w:t>
            </w:r>
            <w:r w:rsidR="00E9261C" w:rsidRPr="00E9261C">
              <w:rPr>
                <w:i/>
                <w:iCs/>
              </w:rPr>
              <w:t>Hedera helix</w:t>
            </w:r>
            <w:r w:rsidRPr="00F07BA2">
              <w:t>, dog</w:t>
            </w:r>
            <w:r w:rsidR="007D0118">
              <w:t>-</w:t>
            </w:r>
            <w:r w:rsidRPr="00F07BA2">
              <w:t>rose</w:t>
            </w:r>
            <w:r w:rsidR="007D0118">
              <w:t xml:space="preserve"> </w:t>
            </w:r>
            <w:r w:rsidR="007D0118">
              <w:rPr>
                <w:i/>
                <w:iCs/>
              </w:rPr>
              <w:t>Rosa canina</w:t>
            </w:r>
            <w:r w:rsidRPr="00F07BA2">
              <w:t>, bramble</w:t>
            </w:r>
            <w:r w:rsidR="003B1D97">
              <w:t xml:space="preserve"> and</w:t>
            </w:r>
            <w:r w:rsidRPr="00F07BA2">
              <w:t xml:space="preserve"> wild privet</w:t>
            </w:r>
            <w:r w:rsidR="003B1D97">
              <w:t xml:space="preserve"> als</w:t>
            </w:r>
            <w:r w:rsidR="007D0118">
              <w:t>o</w:t>
            </w:r>
            <w:r w:rsidR="003B1D97">
              <w:t xml:space="preserve"> present. Contained seven young ash trees. </w:t>
            </w:r>
          </w:p>
        </w:tc>
        <w:tc>
          <w:tcPr>
            <w:cnfStyle w:val="000100000000" w:firstRow="0" w:lastRow="0" w:firstColumn="0" w:lastColumn="1" w:oddVBand="0" w:evenVBand="0" w:oddHBand="0" w:evenHBand="0" w:firstRowFirstColumn="0" w:firstRowLastColumn="0" w:lastRowFirstColumn="0" w:lastRowLastColumn="0"/>
            <w:tcW w:w="2739" w:type="dxa"/>
          </w:tcPr>
          <w:p w14:paraId="3FC8CE29" w14:textId="6F9F4478" w:rsidR="00E16F1A" w:rsidRDefault="00E16F1A" w:rsidP="00E16F1A">
            <w:r w:rsidRPr="00E27843">
              <w:t>Area/compensation not in local strategy/ no local strategy</w:t>
            </w:r>
          </w:p>
        </w:tc>
      </w:tr>
      <w:tr w:rsidR="00327FF2" w14:paraId="79D1FDF2" w14:textId="09522D5A" w:rsidTr="00AE1D4C">
        <w:tc>
          <w:tcPr>
            <w:cnfStyle w:val="001000000000" w:firstRow="0" w:lastRow="0" w:firstColumn="1" w:lastColumn="0" w:oddVBand="0" w:evenVBand="0" w:oddHBand="0" w:evenHBand="0" w:firstRowFirstColumn="0" w:firstRowLastColumn="0" w:lastRowFirstColumn="0" w:lastRowLastColumn="0"/>
            <w:tcW w:w="1403" w:type="dxa"/>
          </w:tcPr>
          <w:p w14:paraId="21321943" w14:textId="0E0E7ED4" w:rsidR="00E16F1A" w:rsidRPr="00A60784" w:rsidRDefault="00E16F1A" w:rsidP="00E16F1A">
            <w:r w:rsidRPr="00A60784">
              <w:t xml:space="preserve">h2a </w:t>
            </w:r>
            <w:r w:rsidRPr="00A60784">
              <w:t xml:space="preserve">Native hedgerow – </w:t>
            </w:r>
            <w:r w:rsidRPr="00A60784">
              <w:lastRenderedPageBreak/>
              <w:t>associated with ditch</w:t>
            </w:r>
          </w:p>
        </w:tc>
        <w:tc>
          <w:tcPr>
            <w:tcW w:w="1044" w:type="dxa"/>
          </w:tcPr>
          <w:p w14:paraId="19FFF3A3" w14:textId="3B59FA1C"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lastRenderedPageBreak/>
              <w:t>0.062</w:t>
            </w:r>
          </w:p>
        </w:tc>
        <w:tc>
          <w:tcPr>
            <w:tcW w:w="1715" w:type="dxa"/>
          </w:tcPr>
          <w:p w14:paraId="0B3274F5" w14:textId="5EBC5E86"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t>Medium</w:t>
            </w:r>
          </w:p>
        </w:tc>
        <w:tc>
          <w:tcPr>
            <w:tcW w:w="1503" w:type="dxa"/>
          </w:tcPr>
          <w:p w14:paraId="29BD8C15" w14:textId="068CF4BF"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t>Good</w:t>
            </w:r>
          </w:p>
        </w:tc>
        <w:tc>
          <w:tcPr>
            <w:tcW w:w="6192" w:type="dxa"/>
          </w:tcPr>
          <w:p w14:paraId="67B3DA7E" w14:textId="4641E9D6"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i/>
                <w:iCs/>
              </w:rPr>
            </w:pPr>
            <w:r w:rsidRPr="00A60784">
              <w:rPr>
                <w:bCs/>
              </w:rPr>
              <w:t>Blackthorn hedgerow with occasional hawthorn</w:t>
            </w:r>
            <w:r w:rsidR="00327FF2" w:rsidRPr="00A60784">
              <w:rPr>
                <w:bCs/>
                <w:i/>
                <w:iCs/>
              </w:rPr>
              <w:t>.</w:t>
            </w:r>
          </w:p>
        </w:tc>
        <w:tc>
          <w:tcPr>
            <w:cnfStyle w:val="000100000000" w:firstRow="0" w:lastRow="0" w:firstColumn="0" w:lastColumn="1" w:oddVBand="0" w:evenVBand="0" w:oddHBand="0" w:evenHBand="0" w:firstRowFirstColumn="0" w:firstRowLastColumn="0" w:lastRowFirstColumn="0" w:lastRowLastColumn="0"/>
            <w:tcW w:w="2739" w:type="dxa"/>
          </w:tcPr>
          <w:p w14:paraId="30A28DBE" w14:textId="7B6D6552" w:rsidR="00E16F1A" w:rsidRPr="00A60784" w:rsidRDefault="00E16F1A" w:rsidP="00E16F1A">
            <w:r w:rsidRPr="00A60784">
              <w:t>Formally identified in local strategy</w:t>
            </w:r>
          </w:p>
        </w:tc>
      </w:tr>
      <w:tr w:rsidR="00327FF2" w14:paraId="55D57FC7" w14:textId="2CF765D4"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39F4873" w14:textId="48CD4A5D" w:rsidR="00E16F1A" w:rsidRPr="00A60784" w:rsidRDefault="00B90B5C" w:rsidP="00E16F1A">
            <w:r w:rsidRPr="00A60784">
              <w:t>Rural Trees</w:t>
            </w:r>
          </w:p>
        </w:tc>
        <w:tc>
          <w:tcPr>
            <w:tcW w:w="1044" w:type="dxa"/>
          </w:tcPr>
          <w:p w14:paraId="20AB38C0" w14:textId="377647AA" w:rsidR="00E16F1A" w:rsidRPr="00A60784" w:rsidRDefault="00E277DE"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0.069</w:t>
            </w:r>
            <w:r w:rsidR="0067272F" w:rsidRPr="00A60784">
              <w:rPr>
                <w:rStyle w:val="FootnoteReference"/>
                <w:bCs/>
              </w:rPr>
              <w:footnoteReference w:id="2"/>
            </w:r>
          </w:p>
        </w:tc>
        <w:tc>
          <w:tcPr>
            <w:tcW w:w="1715" w:type="dxa"/>
          </w:tcPr>
          <w:p w14:paraId="63ACD079" w14:textId="4F5C5CA0" w:rsidR="00E16F1A" w:rsidRPr="00A60784" w:rsidRDefault="00E16F1A"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Medium</w:t>
            </w:r>
          </w:p>
        </w:tc>
        <w:tc>
          <w:tcPr>
            <w:tcW w:w="1503" w:type="dxa"/>
          </w:tcPr>
          <w:p w14:paraId="77C6B108" w14:textId="223A343B" w:rsidR="00E16F1A" w:rsidRPr="00A60784" w:rsidRDefault="00406F8B"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Moderate/Good</w:t>
            </w:r>
          </w:p>
        </w:tc>
        <w:tc>
          <w:tcPr>
            <w:tcW w:w="6192" w:type="dxa"/>
          </w:tcPr>
          <w:p w14:paraId="1C828282" w14:textId="1AF0AA51" w:rsidR="00E16F1A" w:rsidRPr="00A60784" w:rsidRDefault="003F15E3"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 xml:space="preserve">Four </w:t>
            </w:r>
            <w:r w:rsidR="007516CD" w:rsidRPr="00A60784">
              <w:rPr>
                <w:bCs/>
              </w:rPr>
              <w:t>young</w:t>
            </w:r>
            <w:r w:rsidRPr="00A60784">
              <w:rPr>
                <w:bCs/>
              </w:rPr>
              <w:t xml:space="preserve"> trees</w:t>
            </w:r>
            <w:r w:rsidR="007516CD" w:rsidRPr="00A60784">
              <w:rPr>
                <w:bCs/>
              </w:rPr>
              <w:t xml:space="preserve"> (</w:t>
            </w:r>
            <w:r w:rsidRPr="00A60784">
              <w:rPr>
                <w:bCs/>
              </w:rPr>
              <w:t>one</w:t>
            </w:r>
            <w:r w:rsidR="00E16F1A" w:rsidRPr="00A60784">
              <w:rPr>
                <w:bCs/>
              </w:rPr>
              <w:t xml:space="preserve"> </w:t>
            </w:r>
            <w:r w:rsidR="00890B23" w:rsidRPr="00A60784">
              <w:rPr>
                <w:bCs/>
              </w:rPr>
              <w:t>Willow</w:t>
            </w:r>
            <w:r w:rsidR="00EB5472">
              <w:rPr>
                <w:bCs/>
              </w:rPr>
              <w:t xml:space="preserve"> </w:t>
            </w:r>
            <w:r w:rsidR="00EB5472">
              <w:rPr>
                <w:bCs/>
                <w:i/>
                <w:iCs/>
              </w:rPr>
              <w:t>Salix sp</w:t>
            </w:r>
            <w:r w:rsidR="002532BD">
              <w:rPr>
                <w:bCs/>
                <w:i/>
                <w:iCs/>
              </w:rPr>
              <w:t>p.</w:t>
            </w:r>
            <w:r w:rsidR="007516CD" w:rsidRPr="00A60784">
              <w:rPr>
                <w:bCs/>
              </w:rPr>
              <w:t xml:space="preserve"> and</w:t>
            </w:r>
            <w:r w:rsidR="00890B23" w:rsidRPr="00A60784">
              <w:rPr>
                <w:bCs/>
              </w:rPr>
              <w:t xml:space="preserve"> three ash</w:t>
            </w:r>
            <w:r w:rsidR="007516CD" w:rsidRPr="00A60784">
              <w:rPr>
                <w:bCs/>
              </w:rPr>
              <w:t>) and two mature ash</w:t>
            </w:r>
            <w:r w:rsidR="00BF3FB2" w:rsidRPr="00A60784">
              <w:rPr>
                <w:bCs/>
              </w:rPr>
              <w:t xml:space="preserve"> trees. </w:t>
            </w:r>
            <w:r w:rsidR="00C05F30" w:rsidRPr="00A60784">
              <w:rPr>
                <w:bCs/>
              </w:rPr>
              <w:t>Further details are provided in Table 2</w:t>
            </w:r>
          </w:p>
        </w:tc>
        <w:tc>
          <w:tcPr>
            <w:cnfStyle w:val="000100000000" w:firstRow="0" w:lastRow="0" w:firstColumn="0" w:lastColumn="1" w:oddVBand="0" w:evenVBand="0" w:oddHBand="0" w:evenHBand="0" w:firstRowFirstColumn="0" w:firstRowLastColumn="0" w:lastRowFirstColumn="0" w:lastRowLastColumn="0"/>
            <w:tcW w:w="2739" w:type="dxa"/>
          </w:tcPr>
          <w:p w14:paraId="2A0A5134" w14:textId="474894D8" w:rsidR="00E16F1A" w:rsidRPr="00A60784" w:rsidRDefault="00C05F30" w:rsidP="00E16F1A">
            <w:r w:rsidRPr="00A60784">
              <w:t>Formally identified in local strategy</w:t>
            </w:r>
          </w:p>
        </w:tc>
      </w:tr>
      <w:tr w:rsidR="00696622" w14:paraId="44847682" w14:textId="77777777" w:rsidTr="00AE1D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403" w:type="dxa"/>
          </w:tcPr>
          <w:p w14:paraId="55E080F4" w14:textId="7749ABEB" w:rsidR="00696622" w:rsidRPr="00A60784" w:rsidRDefault="00696622" w:rsidP="00E16F1A">
            <w:pPr>
              <w:rPr>
                <w:b w:val="0"/>
              </w:rPr>
            </w:pPr>
            <w:r w:rsidRPr="00A60784">
              <w:rPr>
                <w:b w:val="0"/>
              </w:rPr>
              <w:t>Ditches</w:t>
            </w:r>
          </w:p>
        </w:tc>
        <w:tc>
          <w:tcPr>
            <w:tcW w:w="1044" w:type="dxa"/>
          </w:tcPr>
          <w:p w14:paraId="20BFF9FE" w14:textId="055E4C4A"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0.687</w:t>
            </w:r>
          </w:p>
        </w:tc>
        <w:tc>
          <w:tcPr>
            <w:tcW w:w="1715" w:type="dxa"/>
          </w:tcPr>
          <w:p w14:paraId="7FE64795" w14:textId="2A850F29"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Medium</w:t>
            </w:r>
          </w:p>
        </w:tc>
        <w:tc>
          <w:tcPr>
            <w:tcW w:w="1503" w:type="dxa"/>
          </w:tcPr>
          <w:p w14:paraId="405515D1" w14:textId="7E2A9ABD"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Poor</w:t>
            </w:r>
          </w:p>
        </w:tc>
        <w:tc>
          <w:tcPr>
            <w:tcW w:w="6192" w:type="dxa"/>
          </w:tcPr>
          <w:p w14:paraId="1B32C1FA" w14:textId="4D31EFDC" w:rsidR="00696622" w:rsidRPr="00A60784" w:rsidRDefault="00EA6B2F"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 xml:space="preserve">Ditches within the Site are generally shaded, with low water levels and </w:t>
            </w:r>
            <w:r w:rsidR="00DE55A7" w:rsidRPr="00A60784">
              <w:rPr>
                <w:b w:val="0"/>
              </w:rPr>
              <w:t>i</w:t>
            </w:r>
            <w:r w:rsidRPr="00A60784">
              <w:rPr>
                <w:b w:val="0"/>
              </w:rPr>
              <w:t>nundated with bramble scrub.</w:t>
            </w:r>
            <w:r w:rsidR="00DE55A7" w:rsidRPr="00A60784">
              <w:rPr>
                <w:b w:val="0"/>
              </w:rPr>
              <w:t xml:space="preserve"> </w:t>
            </w:r>
            <w:r w:rsidR="00135BCE" w:rsidRPr="00A60784">
              <w:rPr>
                <w:b w:val="0"/>
              </w:rPr>
              <w:t>Contained</w:t>
            </w:r>
            <w:r w:rsidR="00DE55A7" w:rsidRPr="00A60784">
              <w:rPr>
                <w:b w:val="0"/>
              </w:rPr>
              <w:t xml:space="preserve"> standing water but </w:t>
            </w:r>
            <w:r w:rsidR="00135BCE" w:rsidRPr="00A60784">
              <w:rPr>
                <w:b w:val="0"/>
              </w:rPr>
              <w:t xml:space="preserve">likely dry throughout much of the year. </w:t>
            </w:r>
          </w:p>
        </w:tc>
        <w:tc>
          <w:tcPr>
            <w:cnfStyle w:val="000100000010" w:firstRow="0" w:lastRow="0" w:firstColumn="0" w:lastColumn="1" w:oddVBand="0" w:evenVBand="0" w:oddHBand="0" w:evenHBand="0" w:firstRowFirstColumn="0" w:firstRowLastColumn="0" w:lastRowFirstColumn="0" w:lastRowLastColumn="1"/>
            <w:tcW w:w="2739" w:type="dxa"/>
          </w:tcPr>
          <w:p w14:paraId="05485F80" w14:textId="53CCDC3C" w:rsidR="00696622" w:rsidRPr="00842CFC" w:rsidRDefault="007C20B3" w:rsidP="00E16F1A">
            <w:pPr>
              <w:rPr>
                <w:b w:val="0"/>
                <w:bCs w:val="0"/>
              </w:rPr>
            </w:pPr>
            <w:r w:rsidRPr="00842CFC">
              <w:rPr>
                <w:b w:val="0"/>
                <w:bCs w:val="0"/>
              </w:rPr>
              <w:t>555</w:t>
            </w:r>
            <w:r w:rsidR="004E206B">
              <w:rPr>
                <w:b w:val="0"/>
                <w:bCs w:val="0"/>
              </w:rPr>
              <w:t xml:space="preserve"> </w:t>
            </w:r>
            <w:r w:rsidR="00EC58C0" w:rsidRPr="00842CFC">
              <w:rPr>
                <w:b w:val="0"/>
                <w:bCs w:val="0"/>
              </w:rPr>
              <w:t xml:space="preserve">m </w:t>
            </w:r>
            <w:r w:rsidR="00EC58C0" w:rsidRPr="00842CFC">
              <w:rPr>
                <w:b w:val="0"/>
                <w:bCs w:val="0"/>
              </w:rPr>
              <w:t>Formally identified in local strategy</w:t>
            </w:r>
            <w:r w:rsidRPr="00842CFC">
              <w:rPr>
                <w:b w:val="0"/>
                <w:bCs w:val="0"/>
              </w:rPr>
              <w:t>, 133</w:t>
            </w:r>
            <w:r w:rsidR="004E206B">
              <w:rPr>
                <w:b w:val="0"/>
                <w:bCs w:val="0"/>
              </w:rPr>
              <w:t xml:space="preserve"> </w:t>
            </w:r>
            <w:r w:rsidRPr="00842CFC">
              <w:rPr>
                <w:b w:val="0"/>
                <w:bCs w:val="0"/>
              </w:rPr>
              <w:t xml:space="preserve">m not in </w:t>
            </w:r>
            <w:r w:rsidR="00842CFC" w:rsidRPr="00842CFC">
              <w:rPr>
                <w:b w:val="0"/>
                <w:bCs w:val="0"/>
              </w:rPr>
              <w:t>l</w:t>
            </w:r>
            <w:r w:rsidRPr="00842CFC">
              <w:rPr>
                <w:b w:val="0"/>
                <w:bCs w:val="0"/>
              </w:rPr>
              <w:t>ocal strategy</w:t>
            </w:r>
          </w:p>
        </w:tc>
      </w:tr>
    </w:tbl>
    <w:p w14:paraId="0D2C6BFC" w14:textId="0C3E11E9" w:rsidR="00271ACF" w:rsidRPr="00A36BF7" w:rsidRDefault="00271ACF" w:rsidP="00271ACF">
      <w:pPr>
        <w:rPr>
          <w:rFonts w:cstheme="minorHAnsi"/>
          <w:i/>
          <w:iCs/>
        </w:rPr>
      </w:pPr>
      <w:r w:rsidRPr="00A36BF7">
        <w:rPr>
          <w:rFonts w:cstheme="minorHAnsi"/>
          <w:i/>
          <w:iCs/>
        </w:rPr>
        <w:t xml:space="preserve">Table </w:t>
      </w:r>
      <w:r w:rsidRPr="00A36BF7">
        <w:rPr>
          <w:rFonts w:cstheme="minorHAnsi"/>
          <w:i/>
          <w:iCs/>
        </w:rPr>
        <w:t>2</w:t>
      </w:r>
      <w:r w:rsidRPr="00A36BF7">
        <w:rPr>
          <w:rFonts w:cstheme="minorHAnsi"/>
          <w:i/>
          <w:iCs/>
        </w:rPr>
        <w:t xml:space="preserve"> </w:t>
      </w:r>
      <w:r w:rsidR="001B0D9A" w:rsidRPr="00A36BF7">
        <w:rPr>
          <w:rFonts w:cstheme="minorHAnsi"/>
          <w:i/>
          <w:iCs/>
        </w:rPr>
        <w:t>Individual Trees Recorded on Site</w:t>
      </w:r>
    </w:p>
    <w:tbl>
      <w:tblPr>
        <w:tblStyle w:val="TableGrid1"/>
        <w:tblW w:w="13687" w:type="dxa"/>
        <w:tblLayout w:type="fixed"/>
        <w:tblLook w:val="05E0" w:firstRow="1" w:lastRow="1" w:firstColumn="1" w:lastColumn="1" w:noHBand="0" w:noVBand="1"/>
      </w:tblPr>
      <w:tblGrid>
        <w:gridCol w:w="1097"/>
        <w:gridCol w:w="832"/>
        <w:gridCol w:w="1327"/>
        <w:gridCol w:w="1171"/>
        <w:gridCol w:w="4630"/>
        <w:gridCol w:w="4630"/>
      </w:tblGrid>
      <w:tr w:rsidR="00D329EB" w14:paraId="579C3B2A" w14:textId="77777777" w:rsidTr="00AD2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2C058789" w14:textId="77777777" w:rsidR="00D329EB" w:rsidRDefault="00D329EB" w:rsidP="003C19B9">
            <w:r>
              <w:t>Tree ID</w:t>
            </w:r>
          </w:p>
        </w:tc>
        <w:tc>
          <w:tcPr>
            <w:tcW w:w="832" w:type="dxa"/>
          </w:tcPr>
          <w:p w14:paraId="6B2D4FFC"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Size</w:t>
            </w:r>
            <w:r>
              <w:rPr>
                <w:rStyle w:val="FootnoteReference"/>
              </w:rPr>
              <w:footnoteReference w:id="3"/>
            </w:r>
          </w:p>
        </w:tc>
        <w:tc>
          <w:tcPr>
            <w:tcW w:w="1327" w:type="dxa"/>
          </w:tcPr>
          <w:p w14:paraId="44625FBF"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Species</w:t>
            </w:r>
          </w:p>
        </w:tc>
        <w:tc>
          <w:tcPr>
            <w:tcW w:w="1171" w:type="dxa"/>
          </w:tcPr>
          <w:p w14:paraId="0CFFFD21"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Condition</w:t>
            </w:r>
          </w:p>
        </w:tc>
        <w:tc>
          <w:tcPr>
            <w:tcW w:w="4630" w:type="dxa"/>
          </w:tcPr>
          <w:p w14:paraId="539E8D30"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Location</w:t>
            </w:r>
          </w:p>
        </w:tc>
        <w:tc>
          <w:tcPr>
            <w:cnfStyle w:val="000100000000" w:firstRow="0" w:lastRow="0" w:firstColumn="0" w:lastColumn="1" w:oddVBand="0" w:evenVBand="0" w:oddHBand="0" w:evenHBand="0" w:firstRowFirstColumn="0" w:firstRowLastColumn="0" w:lastRowFirstColumn="0" w:lastRowLastColumn="0"/>
            <w:tcW w:w="4630" w:type="dxa"/>
          </w:tcPr>
          <w:p w14:paraId="049B5F1B" w14:textId="77777777" w:rsidR="00D329EB" w:rsidRDefault="00D329EB" w:rsidP="003C19B9">
            <w:r>
              <w:t>Notes</w:t>
            </w:r>
          </w:p>
        </w:tc>
      </w:tr>
      <w:tr w:rsidR="00D329EB" w14:paraId="2E77B2CB"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1F96A87B" w14:textId="77777777" w:rsidR="00D329EB" w:rsidRPr="00034620" w:rsidRDefault="00D329EB" w:rsidP="003C19B9">
            <w:r>
              <w:t>189</w:t>
            </w:r>
          </w:p>
        </w:tc>
        <w:tc>
          <w:tcPr>
            <w:tcW w:w="832" w:type="dxa"/>
          </w:tcPr>
          <w:p w14:paraId="71CA3193"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74DCCBC3"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Willow</w:t>
            </w:r>
          </w:p>
        </w:tc>
        <w:tc>
          <w:tcPr>
            <w:tcW w:w="1171" w:type="dxa"/>
          </w:tcPr>
          <w:p w14:paraId="5581DF51"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Medium</w:t>
            </w:r>
          </w:p>
        </w:tc>
        <w:tc>
          <w:tcPr>
            <w:tcW w:w="4630" w:type="dxa"/>
          </w:tcPr>
          <w:p w14:paraId="7260FA6B" w14:textId="77777777" w:rsidR="00D329EB" w:rsidRPr="00B1786A" w:rsidRDefault="00D329EB" w:rsidP="003C19B9">
            <w:pPr>
              <w:cnfStyle w:val="000000100000" w:firstRow="0" w:lastRow="0" w:firstColumn="0" w:lastColumn="0" w:oddVBand="0" w:evenVBand="0" w:oddHBand="1" w:evenHBand="0" w:firstRowFirstColumn="0" w:firstRowLastColumn="0" w:lastRowFirstColumn="0" w:lastRowLastColumn="0"/>
            </w:pPr>
            <w:r w:rsidRPr="00010B90">
              <w:t>TL 36641 50253</w:t>
            </w:r>
          </w:p>
        </w:tc>
        <w:tc>
          <w:tcPr>
            <w:cnfStyle w:val="000100000000" w:firstRow="0" w:lastRow="0" w:firstColumn="0" w:lastColumn="1" w:oddVBand="0" w:evenVBand="0" w:oddHBand="0" w:evenHBand="0" w:firstRowFirstColumn="0" w:firstRowLastColumn="0" w:lastRowFirstColumn="0" w:lastRowLastColumn="0"/>
            <w:tcW w:w="4630" w:type="dxa"/>
          </w:tcPr>
          <w:p w14:paraId="0D73CC77" w14:textId="5BB685A9" w:rsidR="00D329EB" w:rsidRDefault="00D329EB" w:rsidP="003C19B9"/>
        </w:tc>
      </w:tr>
      <w:tr w:rsidR="00D329EB" w14:paraId="0C9D488B" w14:textId="77777777" w:rsidTr="00AD2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112ED1D" w14:textId="77777777" w:rsidR="00D329EB" w:rsidRDefault="00D329EB" w:rsidP="003C19B9">
            <w:r>
              <w:t>191</w:t>
            </w:r>
          </w:p>
        </w:tc>
        <w:tc>
          <w:tcPr>
            <w:tcW w:w="832" w:type="dxa"/>
          </w:tcPr>
          <w:p w14:paraId="0E1F436F"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Large</w:t>
            </w:r>
          </w:p>
        </w:tc>
        <w:tc>
          <w:tcPr>
            <w:tcW w:w="1327" w:type="dxa"/>
          </w:tcPr>
          <w:p w14:paraId="606AC141"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Ash</w:t>
            </w:r>
          </w:p>
        </w:tc>
        <w:tc>
          <w:tcPr>
            <w:tcW w:w="1171" w:type="dxa"/>
          </w:tcPr>
          <w:p w14:paraId="7A84C2D6"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Good</w:t>
            </w:r>
          </w:p>
        </w:tc>
        <w:tc>
          <w:tcPr>
            <w:tcW w:w="4630" w:type="dxa"/>
          </w:tcPr>
          <w:p w14:paraId="52337EFB" w14:textId="77777777" w:rsidR="00D329EB" w:rsidRPr="0080272E" w:rsidRDefault="00D329EB" w:rsidP="003C19B9">
            <w:pPr>
              <w:cnfStyle w:val="000000010000" w:firstRow="0" w:lastRow="0" w:firstColumn="0" w:lastColumn="0" w:oddVBand="0" w:evenVBand="0" w:oddHBand="0" w:evenHBand="1" w:firstRowFirstColumn="0" w:firstRowLastColumn="0" w:lastRowFirstColumn="0" w:lastRowLastColumn="0"/>
            </w:pPr>
            <w:r w:rsidRPr="00051D39">
              <w:t>TL 36460 50225</w:t>
            </w:r>
          </w:p>
        </w:tc>
        <w:tc>
          <w:tcPr>
            <w:cnfStyle w:val="000100000000" w:firstRow="0" w:lastRow="0" w:firstColumn="0" w:lastColumn="1" w:oddVBand="0" w:evenVBand="0" w:oddHBand="0" w:evenHBand="0" w:firstRowFirstColumn="0" w:firstRowLastColumn="0" w:lastRowFirstColumn="0" w:lastRowLastColumn="0"/>
            <w:tcW w:w="4630" w:type="dxa"/>
          </w:tcPr>
          <w:p w14:paraId="1C9B4B1D" w14:textId="1490D5F2" w:rsidR="00D329EB" w:rsidRPr="0080272E" w:rsidRDefault="00D329EB" w:rsidP="003C19B9">
            <w:r>
              <w:t>Contains feature</w:t>
            </w:r>
            <w:r w:rsidR="002C7569">
              <w:t xml:space="preserve"> on main trunk</w:t>
            </w:r>
            <w:r>
              <w:t xml:space="preserve"> with Moderate suitability for roosting bats</w:t>
            </w:r>
            <w:r w:rsidR="00BD55B3">
              <w:t>.</w:t>
            </w:r>
          </w:p>
        </w:tc>
      </w:tr>
      <w:tr w:rsidR="00D329EB" w14:paraId="3FEA138D"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08F4A808" w14:textId="77777777" w:rsidR="00D329EB" w:rsidRDefault="00D329EB" w:rsidP="003C19B9">
            <w:r w:rsidRPr="00034620">
              <w:t>192</w:t>
            </w:r>
          </w:p>
        </w:tc>
        <w:tc>
          <w:tcPr>
            <w:tcW w:w="832" w:type="dxa"/>
          </w:tcPr>
          <w:p w14:paraId="2CDF02D7"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027CB3F9"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Ash</w:t>
            </w:r>
          </w:p>
        </w:tc>
        <w:tc>
          <w:tcPr>
            <w:tcW w:w="1171" w:type="dxa"/>
          </w:tcPr>
          <w:p w14:paraId="0510FDF9"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Medium</w:t>
            </w:r>
          </w:p>
        </w:tc>
        <w:tc>
          <w:tcPr>
            <w:tcW w:w="4630" w:type="dxa"/>
          </w:tcPr>
          <w:p w14:paraId="77EBFADE" w14:textId="77777777" w:rsidR="00D329EB" w:rsidRPr="00051D39" w:rsidRDefault="00D329EB" w:rsidP="003C19B9">
            <w:pPr>
              <w:cnfStyle w:val="000000100000" w:firstRow="0" w:lastRow="0" w:firstColumn="0" w:lastColumn="0" w:oddVBand="0" w:evenVBand="0" w:oddHBand="1" w:evenHBand="0" w:firstRowFirstColumn="0" w:firstRowLastColumn="0" w:lastRowFirstColumn="0" w:lastRowLastColumn="0"/>
            </w:pPr>
            <w:r w:rsidRPr="00B1786A">
              <w:t>TL 36446 50210</w:t>
            </w:r>
          </w:p>
        </w:tc>
        <w:tc>
          <w:tcPr>
            <w:cnfStyle w:val="000100000000" w:firstRow="0" w:lastRow="0" w:firstColumn="0" w:lastColumn="1" w:oddVBand="0" w:evenVBand="0" w:oddHBand="0" w:evenHBand="0" w:firstRowFirstColumn="0" w:firstRowLastColumn="0" w:lastRowFirstColumn="0" w:lastRowLastColumn="0"/>
            <w:tcW w:w="4630" w:type="dxa"/>
          </w:tcPr>
          <w:p w14:paraId="33041D70" w14:textId="77777777" w:rsidR="00D329EB" w:rsidRDefault="00D329EB" w:rsidP="003C19B9"/>
        </w:tc>
      </w:tr>
      <w:tr w:rsidR="00D329EB" w14:paraId="6A7C4116" w14:textId="77777777" w:rsidTr="00AD2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11FCD51A" w14:textId="77777777" w:rsidR="00D329EB" w:rsidRDefault="00D329EB" w:rsidP="003C19B9">
            <w:r>
              <w:lastRenderedPageBreak/>
              <w:t>193</w:t>
            </w:r>
          </w:p>
        </w:tc>
        <w:tc>
          <w:tcPr>
            <w:tcW w:w="832" w:type="dxa"/>
          </w:tcPr>
          <w:p w14:paraId="2B8807DC"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Medium</w:t>
            </w:r>
          </w:p>
        </w:tc>
        <w:tc>
          <w:tcPr>
            <w:tcW w:w="1327" w:type="dxa"/>
          </w:tcPr>
          <w:p w14:paraId="1CA24C5B"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Ash</w:t>
            </w:r>
          </w:p>
        </w:tc>
        <w:tc>
          <w:tcPr>
            <w:tcW w:w="1171" w:type="dxa"/>
          </w:tcPr>
          <w:p w14:paraId="1957F2D6"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Good</w:t>
            </w:r>
          </w:p>
        </w:tc>
        <w:tc>
          <w:tcPr>
            <w:tcW w:w="4630" w:type="dxa"/>
          </w:tcPr>
          <w:p w14:paraId="5E0BC2EC" w14:textId="77777777" w:rsidR="00D329EB" w:rsidRPr="0080272E" w:rsidRDefault="00D329EB" w:rsidP="003C19B9">
            <w:pPr>
              <w:cnfStyle w:val="000000010000" w:firstRow="0" w:lastRow="0" w:firstColumn="0" w:lastColumn="0" w:oddVBand="0" w:evenVBand="0" w:oddHBand="0" w:evenHBand="1" w:firstRowFirstColumn="0" w:firstRowLastColumn="0" w:lastRowFirstColumn="0" w:lastRowLastColumn="0"/>
            </w:pPr>
            <w:r w:rsidRPr="00200F74">
              <w:t>TL 36499 50194</w:t>
            </w:r>
          </w:p>
        </w:tc>
        <w:tc>
          <w:tcPr>
            <w:cnfStyle w:val="000100000000" w:firstRow="0" w:lastRow="0" w:firstColumn="0" w:lastColumn="1" w:oddVBand="0" w:evenVBand="0" w:oddHBand="0" w:evenHBand="0" w:firstRowFirstColumn="0" w:firstRowLastColumn="0" w:lastRowFirstColumn="0" w:lastRowLastColumn="0"/>
            <w:tcW w:w="4630" w:type="dxa"/>
          </w:tcPr>
          <w:p w14:paraId="0441C702" w14:textId="77777777" w:rsidR="00D329EB" w:rsidRPr="00200F74" w:rsidRDefault="00D329EB" w:rsidP="003C19B9"/>
        </w:tc>
      </w:tr>
      <w:tr w:rsidR="00D329EB" w14:paraId="4A1613EC"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3BD9CD06" w14:textId="77777777" w:rsidR="00D329EB" w:rsidRDefault="00D329EB" w:rsidP="003C19B9">
            <w:r>
              <w:t>194</w:t>
            </w:r>
          </w:p>
        </w:tc>
        <w:tc>
          <w:tcPr>
            <w:tcW w:w="832" w:type="dxa"/>
          </w:tcPr>
          <w:p w14:paraId="2D9B2577"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33F9083E"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Ash</w:t>
            </w:r>
          </w:p>
        </w:tc>
        <w:tc>
          <w:tcPr>
            <w:tcW w:w="1171" w:type="dxa"/>
          </w:tcPr>
          <w:p w14:paraId="73BE0D55"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Moderate</w:t>
            </w:r>
          </w:p>
        </w:tc>
        <w:tc>
          <w:tcPr>
            <w:tcW w:w="4630" w:type="dxa"/>
          </w:tcPr>
          <w:p w14:paraId="5D127BC6" w14:textId="77777777" w:rsidR="00D329EB" w:rsidRPr="0064722E" w:rsidRDefault="00D329EB" w:rsidP="003C19B9">
            <w:pPr>
              <w:cnfStyle w:val="000000100000" w:firstRow="0" w:lastRow="0" w:firstColumn="0" w:lastColumn="0" w:oddVBand="0" w:evenVBand="0" w:oddHBand="1" w:evenHBand="0" w:firstRowFirstColumn="0" w:firstRowLastColumn="0" w:lastRowFirstColumn="0" w:lastRowLastColumn="0"/>
            </w:pPr>
            <w:r w:rsidRPr="0080272E">
              <w:t>TL 36557 50187</w:t>
            </w:r>
          </w:p>
        </w:tc>
        <w:tc>
          <w:tcPr>
            <w:cnfStyle w:val="000100000000" w:firstRow="0" w:lastRow="0" w:firstColumn="0" w:lastColumn="1" w:oddVBand="0" w:evenVBand="0" w:oddHBand="0" w:evenHBand="0" w:firstRowFirstColumn="0" w:firstRowLastColumn="0" w:lastRowFirstColumn="0" w:lastRowLastColumn="0"/>
            <w:tcW w:w="4630" w:type="dxa"/>
          </w:tcPr>
          <w:p w14:paraId="29234B8C" w14:textId="77777777" w:rsidR="00D329EB" w:rsidRPr="0080272E" w:rsidRDefault="00D329EB" w:rsidP="003C19B9"/>
        </w:tc>
      </w:tr>
      <w:tr w:rsidR="00D329EB" w14:paraId="23830EDC" w14:textId="77777777" w:rsidTr="00AD24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C072B50" w14:textId="77777777" w:rsidR="00D329EB" w:rsidRDefault="00D329EB" w:rsidP="003C19B9">
            <w:r>
              <w:t>195</w:t>
            </w:r>
          </w:p>
        </w:tc>
        <w:tc>
          <w:tcPr>
            <w:tcW w:w="832" w:type="dxa"/>
          </w:tcPr>
          <w:p w14:paraId="4A156917"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 xml:space="preserve">Small </w:t>
            </w:r>
          </w:p>
        </w:tc>
        <w:tc>
          <w:tcPr>
            <w:tcW w:w="1327" w:type="dxa"/>
          </w:tcPr>
          <w:p w14:paraId="326D66B5"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Ash</w:t>
            </w:r>
          </w:p>
        </w:tc>
        <w:tc>
          <w:tcPr>
            <w:tcW w:w="1171" w:type="dxa"/>
          </w:tcPr>
          <w:p w14:paraId="2A09EEF1"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Moderate</w:t>
            </w:r>
          </w:p>
        </w:tc>
        <w:tc>
          <w:tcPr>
            <w:tcW w:w="4630" w:type="dxa"/>
          </w:tcPr>
          <w:p w14:paraId="5A206E70"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rsidRPr="0064722E">
              <w:t>TL 36576 50183</w:t>
            </w:r>
          </w:p>
        </w:tc>
        <w:tc>
          <w:tcPr>
            <w:cnfStyle w:val="000100000000" w:firstRow="0" w:lastRow="0" w:firstColumn="0" w:lastColumn="1" w:oddVBand="0" w:evenVBand="0" w:oddHBand="0" w:evenHBand="0" w:firstRowFirstColumn="0" w:firstRowLastColumn="0" w:lastRowFirstColumn="0" w:lastRowLastColumn="0"/>
            <w:tcW w:w="4630" w:type="dxa"/>
          </w:tcPr>
          <w:p w14:paraId="2939A531" w14:textId="77777777" w:rsidR="00D329EB" w:rsidRPr="0064722E" w:rsidRDefault="00D329EB" w:rsidP="003C19B9"/>
        </w:tc>
      </w:tr>
    </w:tbl>
    <w:p w14:paraId="64ABAEED" w14:textId="487AEB99" w:rsidR="00AB1005" w:rsidRDefault="00AB1005" w:rsidP="00AB1005">
      <w:r>
        <w:rPr>
          <w:rFonts w:cstheme="minorHAnsi"/>
        </w:rPr>
        <w:t>The only priority habitat recorded on Site was ‘Hedgerows’ habitat (any hedgerows made up of at least 80% native woody species classified as priority habitat), no other priority habitats were recorded</w:t>
      </w:r>
      <w:r w:rsidR="00C61ED1">
        <w:rPr>
          <w:rFonts w:cstheme="minorHAnsi"/>
        </w:rPr>
        <w:t>.</w:t>
      </w:r>
    </w:p>
    <w:p w14:paraId="4A419CC6" w14:textId="77777777" w:rsidR="00AB1005" w:rsidRDefault="00AB1005" w:rsidP="00AB1005"/>
    <w:p w14:paraId="7D8325B8" w14:textId="77777777" w:rsidR="00AB1005" w:rsidRPr="00AB1005" w:rsidRDefault="00AB1005" w:rsidP="00AB1005">
      <w:pPr>
        <w:sectPr w:rsidR="00AB1005" w:rsidRPr="00AB1005" w:rsidSect="00F712FF">
          <w:pgSz w:w="16838" w:h="11906" w:orient="landscape"/>
          <w:pgMar w:top="1134" w:right="1701" w:bottom="1134" w:left="1440" w:header="709" w:footer="709" w:gutter="0"/>
          <w:cols w:space="708"/>
          <w:docGrid w:linePitch="360"/>
        </w:sectPr>
      </w:pPr>
    </w:p>
    <w:p w14:paraId="71AB187E" w14:textId="77777777" w:rsidR="00EF066B" w:rsidRDefault="00EF066B" w:rsidP="0032701F"/>
    <w:p w14:paraId="624BF8F5" w14:textId="14EE2B73" w:rsidR="00EF066B" w:rsidRPr="006E3430" w:rsidRDefault="00EF066B" w:rsidP="00EF066B">
      <w:pPr>
        <w:rPr>
          <w:b/>
          <w:bCs/>
        </w:rPr>
      </w:pPr>
      <w:r w:rsidRPr="006E3430">
        <w:rPr>
          <w:b/>
          <w:bCs/>
        </w:rPr>
        <w:t>Strategic Significance</w:t>
      </w:r>
      <w:r w:rsidR="00845535" w:rsidRPr="006E3430">
        <w:rPr>
          <w:b/>
          <w:bCs/>
        </w:rPr>
        <w:t xml:space="preserve"> and Local Nature Recovery Strategy</w:t>
      </w:r>
    </w:p>
    <w:p w14:paraId="278BB0F8" w14:textId="32287C93" w:rsidR="00EF066B" w:rsidRDefault="00C94682" w:rsidP="0032701F">
      <w:r>
        <w:t xml:space="preserve">The following </w:t>
      </w:r>
      <w:r w:rsidR="007032BF">
        <w:t>layers were identified within the Site boundary</w:t>
      </w:r>
      <w:r w:rsidR="00CB7234">
        <w:t xml:space="preserve"> </w:t>
      </w:r>
      <w:r w:rsidR="003E6C0F">
        <w:t>within the northwestern field</w:t>
      </w:r>
      <w:r w:rsidR="0035471B">
        <w:t xml:space="preserve">. This has been identified </w:t>
      </w:r>
      <w:r w:rsidR="00914CE0">
        <w:t xml:space="preserve">by </w:t>
      </w:r>
      <w:r w:rsidR="008B3B9A">
        <w:t xml:space="preserve">Cambridge &amp; </w:t>
      </w:r>
      <w:r w:rsidR="00D95855">
        <w:t>Peterborough</w:t>
      </w:r>
      <w:r w:rsidR="008B3B9A">
        <w:t xml:space="preserve"> combined authority</w:t>
      </w:r>
      <w:r w:rsidR="00AF11EA">
        <w:t xml:space="preserve"> </w:t>
      </w:r>
      <w:r w:rsidR="00EA7DB4">
        <w:t xml:space="preserve">via a Local Nature Recovery Strategy (LNRS) </w:t>
      </w:r>
      <w:r w:rsidR="00915240">
        <w:t xml:space="preserve">as an area that </w:t>
      </w:r>
      <w:r w:rsidR="005F32E9">
        <w:t xml:space="preserve">the following </w:t>
      </w:r>
      <w:r w:rsidR="00914CE0">
        <w:t xml:space="preserve">nature recovery </w:t>
      </w:r>
      <w:r w:rsidR="00915240">
        <w:t>efforts</w:t>
      </w:r>
      <w:r w:rsidR="00914CE0">
        <w:t xml:space="preserve"> should be targeted</w:t>
      </w:r>
      <w:r w:rsidR="00F70FEE">
        <w:t>:</w:t>
      </w:r>
    </w:p>
    <w:p w14:paraId="013DB956" w14:textId="4BD78EBC" w:rsidR="00D46A67" w:rsidRDefault="00D46A67" w:rsidP="0032701F">
      <w:r w:rsidRPr="005B7B63">
        <w:rPr>
          <w:b/>
          <w:bCs/>
        </w:rPr>
        <w:t>ACB</w:t>
      </w:r>
      <w:r>
        <w:t xml:space="preserve"> </w:t>
      </w:r>
      <w:r w:rsidR="00423772">
        <w:t>–</w:t>
      </w:r>
      <w:r>
        <w:t xml:space="preserve"> </w:t>
      </w:r>
      <w:r w:rsidR="00423772">
        <w:t xml:space="preserve">Areas that could become of particular importance for biodiversity </w:t>
      </w:r>
    </w:p>
    <w:p w14:paraId="7D662D83" w14:textId="77777777" w:rsidR="004A663E" w:rsidRDefault="004A663E" w:rsidP="004A663E">
      <w:pPr>
        <w:rPr>
          <w:b/>
          <w:bCs/>
        </w:rPr>
      </w:pPr>
      <w:r w:rsidRPr="004A663E">
        <w:rPr>
          <w:b/>
          <w:bCs/>
        </w:rPr>
        <w:t xml:space="preserve">G1A </w:t>
      </w:r>
      <w:r w:rsidRPr="004A663E">
        <w:t xml:space="preserve">– enhance existing chalk and limestone grassland sites to create a diverse set of </w:t>
      </w:r>
      <w:proofErr w:type="gramStart"/>
      <w:r w:rsidRPr="004A663E">
        <w:t>micro–habitats</w:t>
      </w:r>
      <w:proofErr w:type="gramEnd"/>
      <w:r w:rsidRPr="004A663E">
        <w:t xml:space="preserve"> to support the diversity of scarce and common species associated with this habitat.</w:t>
      </w:r>
    </w:p>
    <w:p w14:paraId="6C959C44" w14:textId="77777777" w:rsidR="004A663E" w:rsidRDefault="004A663E" w:rsidP="004A663E">
      <w:r w:rsidRPr="004A663E">
        <w:rPr>
          <w:b/>
          <w:bCs/>
        </w:rPr>
        <w:t xml:space="preserve">G1B </w:t>
      </w:r>
      <w:r w:rsidRPr="004A663E">
        <w:t>–</w:t>
      </w:r>
      <w:r w:rsidRPr="004A663E">
        <w:rPr>
          <w:b/>
          <w:bCs/>
        </w:rPr>
        <w:t xml:space="preserve"> </w:t>
      </w:r>
      <w:r w:rsidRPr="004A663E">
        <w:t>improve biodiversity by creating species–rich calcareous grassland adjoining to, and up to 500 metres from, existing designated and other chalk and limestone grasslands. There is no minimum site size, but larger sites are preferable (in combination with other complementary habitats), and there should be a realistic ambition for sites to become priority habitat in the future (it usually takes 50–60 years to create this priority habitat from former arable land).</w:t>
      </w:r>
    </w:p>
    <w:p w14:paraId="5D93206D" w14:textId="77777777" w:rsidR="00AE0FD6" w:rsidRPr="00AE0FD6" w:rsidRDefault="00AE0FD6" w:rsidP="00AE0FD6">
      <w:pPr>
        <w:rPr>
          <w:b/>
          <w:bCs/>
        </w:rPr>
      </w:pPr>
      <w:r w:rsidRPr="00AE0FD6">
        <w:rPr>
          <w:b/>
          <w:bCs/>
        </w:rPr>
        <w:t xml:space="preserve">G2A </w:t>
      </w:r>
      <w:r w:rsidRPr="00AE0FD6">
        <w:t>– enhance existing species–rich neutral grassland sites to support the diversity of scarce and common species associated with this habitat.</w:t>
      </w:r>
    </w:p>
    <w:p w14:paraId="6BE55A8B" w14:textId="77777777" w:rsidR="00E965EF" w:rsidRPr="00E965EF" w:rsidRDefault="00E965EF" w:rsidP="00E965EF">
      <w:pPr>
        <w:rPr>
          <w:b/>
          <w:bCs/>
        </w:rPr>
      </w:pPr>
      <w:r w:rsidRPr="00E965EF">
        <w:rPr>
          <w:b/>
          <w:bCs/>
        </w:rPr>
        <w:t xml:space="preserve">G2B </w:t>
      </w:r>
      <w:r w:rsidRPr="00E965EF">
        <w:t>– improve biodiversity by creating species–rich neutral grassland adjoining to, and up to 500 metres from, existing designated and other neutral grassland sites. There is no minimum size threshold, but larger sites are preferable (in combination with other complementary habitats) and there should be a realistic ambition for site to become priority habitat in the future.</w:t>
      </w:r>
    </w:p>
    <w:p w14:paraId="46FA83DA" w14:textId="77777777" w:rsidR="00E965EF" w:rsidRPr="00E965EF" w:rsidRDefault="00E965EF" w:rsidP="00E965EF">
      <w:pPr>
        <w:rPr>
          <w:b/>
          <w:bCs/>
        </w:rPr>
      </w:pPr>
      <w:r w:rsidRPr="00E965EF">
        <w:rPr>
          <w:b/>
          <w:bCs/>
        </w:rPr>
        <w:t xml:space="preserve">G3A </w:t>
      </w:r>
      <w:r w:rsidRPr="00E965EF">
        <w:t>– deliver wider environmental benefits such as runoff reduction, water quality enhancement and potential access to nature, by creating species–rich grasslands in appropriate locations.</w:t>
      </w:r>
    </w:p>
    <w:p w14:paraId="4C44E4F2" w14:textId="715C950A" w:rsidR="00845535" w:rsidRPr="00845535" w:rsidRDefault="00251916" w:rsidP="00845535">
      <w:r>
        <w:t>Local Nature Recovery Strateg</w:t>
      </w:r>
      <w:r>
        <w:t xml:space="preserve">ies </w:t>
      </w:r>
      <w:r w:rsidR="00845535" w:rsidRPr="00845535">
        <w:t>will be used to help guide and focus funding from Environmental Land Management schemes. The LNRS will enable farmers and land managers to better understand and determine if there are actions that they could undertake that would have particular benefit in their areas. The LNRS will not create designations or protections. Its purpose is to help inform land managers and promote nature recovery as a viable alternative to other land uses.</w:t>
      </w:r>
    </w:p>
    <w:p w14:paraId="0A10041D" w14:textId="33D98665" w:rsidR="00845535" w:rsidRPr="00845535" w:rsidRDefault="00845535" w:rsidP="00845535">
      <w:r w:rsidRPr="00845535">
        <w:t xml:space="preserve">The LNRS is designed to work with local area planning. The Environment Act 2021 requires that </w:t>
      </w:r>
      <w:r w:rsidR="00114C08">
        <w:t xml:space="preserve">LNRSs are considered </w:t>
      </w:r>
      <w:r w:rsidRPr="00845535">
        <w:t xml:space="preserve">when making decisions about both planning policy and development management. It will be a key source of evidence to inform local plans, neighbourhood plans and their reviews. </w:t>
      </w:r>
      <w:r w:rsidRPr="00845535">
        <w:rPr>
          <w:b/>
          <w:bCs/>
        </w:rPr>
        <w:t>The LNRS itself will not stop planning and does not carry a legal status in the planning process, but it will inform the process.</w:t>
      </w:r>
    </w:p>
    <w:p w14:paraId="0DB9A732" w14:textId="77777777" w:rsidR="00391F0C" w:rsidRPr="006E3430" w:rsidRDefault="00391F0C" w:rsidP="00391F0C">
      <w:pPr>
        <w:rPr>
          <w:b/>
          <w:bCs/>
        </w:rPr>
      </w:pPr>
      <w:r w:rsidRPr="006E3430">
        <w:rPr>
          <w:b/>
          <w:bCs/>
        </w:rPr>
        <w:t>Biodiversity Net Gain</w:t>
      </w:r>
    </w:p>
    <w:p w14:paraId="5E35923E" w14:textId="20FD912D" w:rsidR="00D33CC8" w:rsidRDefault="00A14DA7" w:rsidP="00D33CC8">
      <w:r>
        <w:t>Habitats</w:t>
      </w:r>
      <w:r w:rsidR="00B60759">
        <w:t xml:space="preserve"> described in </w:t>
      </w:r>
      <w:r w:rsidR="00B60759" w:rsidRPr="00735CBA">
        <w:rPr>
          <w:b/>
          <w:bCs/>
        </w:rPr>
        <w:t>Table 1</w:t>
      </w:r>
      <w:r w:rsidR="00B60759">
        <w:t xml:space="preserve"> were used to calculate the BNG baseline for the site with the results provided below</w:t>
      </w:r>
      <w:r w:rsidR="00735CBA">
        <w:t xml:space="preserve"> </w:t>
      </w:r>
      <w:r w:rsidR="004F3753">
        <w:t xml:space="preserve">in </w:t>
      </w:r>
      <w:r w:rsidR="004F3753" w:rsidRPr="004F3753">
        <w:rPr>
          <w:b/>
          <w:bCs/>
        </w:rPr>
        <w:t>Table 3</w:t>
      </w:r>
      <w:r w:rsidR="004F3753">
        <w:t xml:space="preserve">. </w:t>
      </w:r>
      <w:r w:rsidR="00A1762B" w:rsidRPr="00A1762B">
        <w:t>With the passing of the Environment Act (2021) there is a mandatory requirement for major development projects to deliver a minimum of 10% net gain.  </w:t>
      </w:r>
      <w:r w:rsidR="0084574C">
        <w:t xml:space="preserve">The number of </w:t>
      </w:r>
      <w:r w:rsidR="004F3753">
        <w:t>Biodiversity</w:t>
      </w:r>
      <w:r w:rsidR="0084574C">
        <w:t xml:space="preserve"> Units </w:t>
      </w:r>
      <w:r w:rsidR="00F02CC4">
        <w:t xml:space="preserve">(BU) </w:t>
      </w:r>
      <w:r w:rsidR="0084574C">
        <w:t xml:space="preserve">required to achieve this is summarised in </w:t>
      </w:r>
      <w:r w:rsidR="0084574C" w:rsidRPr="004F3753">
        <w:rPr>
          <w:b/>
          <w:bCs/>
        </w:rPr>
        <w:t>Table 3</w:t>
      </w:r>
      <w:r w:rsidR="00D33CC8">
        <w:t xml:space="preserve">. </w:t>
      </w:r>
      <w:r w:rsidR="004F3753">
        <w:t>To</w:t>
      </w:r>
      <w:r w:rsidR="00D33CC8">
        <w:t xml:space="preserve"> satisfy trading rules within BNG</w:t>
      </w:r>
      <w:r w:rsidR="00D33CC8">
        <w:t xml:space="preserve"> there is also a requirement that</w:t>
      </w:r>
      <w:r w:rsidR="00D33CC8">
        <w:t xml:space="preserve"> additional units created should be of the same o</w:t>
      </w:r>
      <w:r w:rsidR="00735CBA">
        <w:t>r</w:t>
      </w:r>
      <w:r w:rsidR="00D33CC8">
        <w:t xml:space="preserve"> greater distinctiveness.</w:t>
      </w:r>
    </w:p>
    <w:p w14:paraId="0FD59530" w14:textId="77777777" w:rsidR="008062F1" w:rsidRDefault="008062F1" w:rsidP="004A663E">
      <w:pPr>
        <w:rPr>
          <w:rFonts w:cstheme="minorHAnsi"/>
          <w:i/>
          <w:iCs/>
        </w:rPr>
      </w:pPr>
    </w:p>
    <w:p w14:paraId="5D569C32" w14:textId="0FB78E2A" w:rsidR="0084574C" w:rsidRPr="00A36BF7" w:rsidRDefault="00A36BF7" w:rsidP="004A663E">
      <w:pPr>
        <w:rPr>
          <w:rFonts w:cstheme="minorHAnsi"/>
          <w:i/>
          <w:iCs/>
        </w:rPr>
      </w:pPr>
      <w:r w:rsidRPr="00A36BF7">
        <w:rPr>
          <w:rFonts w:cstheme="minorHAnsi"/>
          <w:i/>
          <w:iCs/>
        </w:rPr>
        <w:lastRenderedPageBreak/>
        <w:t xml:space="preserve">Table </w:t>
      </w:r>
      <w:r>
        <w:rPr>
          <w:rFonts w:cstheme="minorHAnsi"/>
          <w:i/>
          <w:iCs/>
        </w:rPr>
        <w:t>3</w:t>
      </w:r>
      <w:r w:rsidRPr="00A36BF7">
        <w:rPr>
          <w:rFonts w:cstheme="minorHAnsi"/>
          <w:i/>
          <w:iCs/>
        </w:rPr>
        <w:t xml:space="preserve"> </w:t>
      </w:r>
      <w:r w:rsidR="00C25F62">
        <w:rPr>
          <w:rFonts w:cstheme="minorHAnsi"/>
          <w:i/>
          <w:iCs/>
        </w:rPr>
        <w:t>Results of BNG Baseline</w:t>
      </w:r>
    </w:p>
    <w:tbl>
      <w:tblPr>
        <w:tblStyle w:val="TableGrid1"/>
        <w:tblW w:w="0" w:type="auto"/>
        <w:tblLook w:val="04A0" w:firstRow="1" w:lastRow="0" w:firstColumn="1" w:lastColumn="0" w:noHBand="0" w:noVBand="1"/>
      </w:tblPr>
      <w:tblGrid>
        <w:gridCol w:w="2543"/>
        <w:gridCol w:w="2402"/>
        <w:gridCol w:w="2581"/>
        <w:gridCol w:w="2102"/>
      </w:tblGrid>
      <w:tr w:rsidR="00C771A6" w14:paraId="68D79348" w14:textId="186640E5" w:rsidTr="00C7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C87B217" w14:textId="22220BA1" w:rsidR="00C771A6" w:rsidRDefault="00C771A6" w:rsidP="004A663E">
            <w:r>
              <w:t>Unit type</w:t>
            </w:r>
          </w:p>
        </w:tc>
        <w:tc>
          <w:tcPr>
            <w:tcW w:w="2402" w:type="dxa"/>
          </w:tcPr>
          <w:p w14:paraId="3CC7EE8D" w14:textId="75E14BA2" w:rsidR="00C771A6" w:rsidRDefault="00C771A6" w:rsidP="004A663E">
            <w:pPr>
              <w:cnfStyle w:val="100000000000" w:firstRow="1" w:lastRow="0" w:firstColumn="0" w:lastColumn="0" w:oddVBand="0" w:evenVBand="0" w:oddHBand="0" w:evenHBand="0" w:firstRowFirstColumn="0" w:firstRowLastColumn="0" w:lastRowFirstColumn="0" w:lastRowLastColumn="0"/>
            </w:pPr>
            <w:r>
              <w:t>Current baseline</w:t>
            </w:r>
          </w:p>
        </w:tc>
        <w:tc>
          <w:tcPr>
            <w:tcW w:w="2581" w:type="dxa"/>
          </w:tcPr>
          <w:p w14:paraId="5D177B07" w14:textId="058749AD" w:rsidR="00C771A6" w:rsidRDefault="00F02CC4" w:rsidP="004A663E">
            <w:pPr>
              <w:cnfStyle w:val="100000000000" w:firstRow="1" w:lastRow="0" w:firstColumn="0" w:lastColumn="0" w:oddVBand="0" w:evenVBand="0" w:oddHBand="0" w:evenHBand="0" w:firstRowFirstColumn="0" w:firstRowLastColumn="0" w:lastRowFirstColumn="0" w:lastRowLastColumn="0"/>
            </w:pPr>
            <w:r>
              <w:t>Total n</w:t>
            </w:r>
            <w:r w:rsidR="00C771A6">
              <w:t xml:space="preserve">umber of </w:t>
            </w:r>
            <w:r>
              <w:t>BU</w:t>
            </w:r>
            <w:r w:rsidR="00C771A6">
              <w:t xml:space="preserve"> required post- development to achieve 10% BNG</w:t>
            </w:r>
          </w:p>
        </w:tc>
        <w:tc>
          <w:tcPr>
            <w:tcW w:w="2102" w:type="dxa"/>
          </w:tcPr>
          <w:p w14:paraId="25D44C63" w14:textId="3CDB24B6" w:rsidR="00C771A6" w:rsidRDefault="00C771A6" w:rsidP="004A663E">
            <w:pPr>
              <w:cnfStyle w:val="100000000000" w:firstRow="1" w:lastRow="0" w:firstColumn="0" w:lastColumn="0" w:oddVBand="0" w:evenVBand="0" w:oddHBand="0" w:evenHBand="0" w:firstRowFirstColumn="0" w:firstRowLastColumn="0" w:lastRowFirstColumn="0" w:lastRowLastColumn="0"/>
            </w:pPr>
            <w:r>
              <w:t>Distinctiveness of habitats</w:t>
            </w:r>
          </w:p>
        </w:tc>
      </w:tr>
      <w:tr w:rsidR="00C771A6" w14:paraId="49182360" w14:textId="599D6FD3" w:rsidTr="00C7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13A25E5" w14:textId="5DEB6E36" w:rsidR="00C771A6" w:rsidRDefault="00C771A6" w:rsidP="004A663E">
            <w:r>
              <w:t>Area Habitat</w:t>
            </w:r>
          </w:p>
        </w:tc>
        <w:tc>
          <w:tcPr>
            <w:tcW w:w="2402" w:type="dxa"/>
          </w:tcPr>
          <w:p w14:paraId="1ECC9BE2" w14:textId="5A38D50E" w:rsidR="00C771A6" w:rsidRDefault="00C771A6" w:rsidP="004A663E">
            <w:pPr>
              <w:cnfStyle w:val="000000100000" w:firstRow="0" w:lastRow="0" w:firstColumn="0" w:lastColumn="0" w:oddVBand="0" w:evenVBand="0" w:oddHBand="1" w:evenHBand="0" w:firstRowFirstColumn="0" w:firstRowLastColumn="0" w:lastRowFirstColumn="0" w:lastRowLastColumn="0"/>
            </w:pPr>
            <w:r>
              <w:t>18.63</w:t>
            </w:r>
          </w:p>
        </w:tc>
        <w:tc>
          <w:tcPr>
            <w:tcW w:w="2581" w:type="dxa"/>
          </w:tcPr>
          <w:p w14:paraId="2A84F0D7" w14:textId="6EA993CA" w:rsidR="00C771A6" w:rsidRDefault="00C771A6" w:rsidP="0015321F">
            <w:pPr>
              <w:cnfStyle w:val="000000100000" w:firstRow="0" w:lastRow="0" w:firstColumn="0" w:lastColumn="0" w:oddVBand="0" w:evenVBand="0" w:oddHBand="1" w:evenHBand="0" w:firstRowFirstColumn="0" w:firstRowLastColumn="0" w:lastRowFirstColumn="0" w:lastRowLastColumn="0"/>
            </w:pPr>
            <w:r>
              <w:t>20.49</w:t>
            </w:r>
          </w:p>
        </w:tc>
        <w:tc>
          <w:tcPr>
            <w:tcW w:w="2102" w:type="dxa"/>
          </w:tcPr>
          <w:p w14:paraId="07D7D250" w14:textId="22F08CE5" w:rsidR="00C771A6" w:rsidRDefault="00C771A6" w:rsidP="0015321F">
            <w:pPr>
              <w:cnfStyle w:val="000000100000" w:firstRow="0" w:lastRow="0" w:firstColumn="0" w:lastColumn="0" w:oddVBand="0" w:evenVBand="0" w:oddHBand="1" w:evenHBand="0" w:firstRowFirstColumn="0" w:firstRowLastColumn="0" w:lastRowFirstColumn="0" w:lastRowLastColumn="0"/>
            </w:pPr>
            <w:r>
              <w:t>Low/Moderate</w:t>
            </w:r>
          </w:p>
        </w:tc>
      </w:tr>
      <w:tr w:rsidR="00C771A6" w14:paraId="669344B7" w14:textId="61592783" w:rsidTr="00C77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E11E75A" w14:textId="54657079" w:rsidR="00C771A6" w:rsidRDefault="00C771A6" w:rsidP="004A663E">
            <w:r>
              <w:t>Hedge</w:t>
            </w:r>
          </w:p>
        </w:tc>
        <w:tc>
          <w:tcPr>
            <w:tcW w:w="2402" w:type="dxa"/>
          </w:tcPr>
          <w:p w14:paraId="4FE53A7E" w14:textId="6B0E15CA" w:rsidR="00C771A6" w:rsidRDefault="00C771A6" w:rsidP="004A663E">
            <w:pPr>
              <w:cnfStyle w:val="000000010000" w:firstRow="0" w:lastRow="0" w:firstColumn="0" w:lastColumn="0" w:oddVBand="0" w:evenVBand="0" w:oddHBand="0" w:evenHBand="1" w:firstRowFirstColumn="0" w:firstRowLastColumn="0" w:lastRowFirstColumn="0" w:lastRowLastColumn="0"/>
            </w:pPr>
            <w:r>
              <w:t>8.21</w:t>
            </w:r>
          </w:p>
        </w:tc>
        <w:tc>
          <w:tcPr>
            <w:tcW w:w="2581" w:type="dxa"/>
          </w:tcPr>
          <w:p w14:paraId="2801C29A" w14:textId="0E898F5B" w:rsidR="00C771A6" w:rsidRDefault="00C771A6" w:rsidP="004A663E">
            <w:pPr>
              <w:cnfStyle w:val="000000010000" w:firstRow="0" w:lastRow="0" w:firstColumn="0" w:lastColumn="0" w:oddVBand="0" w:evenVBand="0" w:oddHBand="0" w:evenHBand="1" w:firstRowFirstColumn="0" w:firstRowLastColumn="0" w:lastRowFirstColumn="0" w:lastRowLastColumn="0"/>
            </w:pPr>
            <w:r>
              <w:t>9.03</w:t>
            </w:r>
          </w:p>
        </w:tc>
        <w:tc>
          <w:tcPr>
            <w:tcW w:w="2102" w:type="dxa"/>
          </w:tcPr>
          <w:p w14:paraId="344DB125" w14:textId="3FA0D7BA" w:rsidR="00C771A6" w:rsidRDefault="003F2317" w:rsidP="004A663E">
            <w:pPr>
              <w:cnfStyle w:val="000000010000" w:firstRow="0" w:lastRow="0" w:firstColumn="0" w:lastColumn="0" w:oddVBand="0" w:evenVBand="0" w:oddHBand="0" w:evenHBand="1" w:firstRowFirstColumn="0" w:firstRowLastColumn="0" w:lastRowFirstColumn="0" w:lastRowLastColumn="0"/>
            </w:pPr>
            <w:r>
              <w:t>Medium/High</w:t>
            </w:r>
          </w:p>
        </w:tc>
      </w:tr>
      <w:tr w:rsidR="00C771A6" w14:paraId="01236002" w14:textId="320238BF" w:rsidTr="00C7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4A021CB0" w14:textId="4F8C182B" w:rsidR="00C771A6" w:rsidRDefault="00C771A6" w:rsidP="004A663E">
            <w:r>
              <w:t>Watercourse</w:t>
            </w:r>
          </w:p>
        </w:tc>
        <w:tc>
          <w:tcPr>
            <w:tcW w:w="2402" w:type="dxa"/>
          </w:tcPr>
          <w:p w14:paraId="4E135777" w14:textId="1019855B" w:rsidR="00C771A6" w:rsidRDefault="00C771A6" w:rsidP="004A663E">
            <w:pPr>
              <w:cnfStyle w:val="000000100000" w:firstRow="0" w:lastRow="0" w:firstColumn="0" w:lastColumn="0" w:oddVBand="0" w:evenVBand="0" w:oddHBand="1" w:evenHBand="0" w:firstRowFirstColumn="0" w:firstRowLastColumn="0" w:lastRowFirstColumn="0" w:lastRowLastColumn="0"/>
            </w:pPr>
            <w:r>
              <w:t>3.08</w:t>
            </w:r>
          </w:p>
        </w:tc>
        <w:tc>
          <w:tcPr>
            <w:tcW w:w="2581" w:type="dxa"/>
          </w:tcPr>
          <w:p w14:paraId="570F4DAA" w14:textId="3672640F" w:rsidR="00C771A6" w:rsidRDefault="00C771A6" w:rsidP="004A663E">
            <w:pPr>
              <w:cnfStyle w:val="000000100000" w:firstRow="0" w:lastRow="0" w:firstColumn="0" w:lastColumn="0" w:oddVBand="0" w:evenVBand="0" w:oddHBand="1" w:evenHBand="0" w:firstRowFirstColumn="0" w:firstRowLastColumn="0" w:lastRowFirstColumn="0" w:lastRowLastColumn="0"/>
            </w:pPr>
            <w:r>
              <w:t>3.39</w:t>
            </w:r>
          </w:p>
        </w:tc>
        <w:tc>
          <w:tcPr>
            <w:tcW w:w="2102" w:type="dxa"/>
          </w:tcPr>
          <w:p w14:paraId="1A47BE46" w14:textId="1B6F2502" w:rsidR="00C771A6" w:rsidRDefault="003F2317" w:rsidP="004A663E">
            <w:pPr>
              <w:cnfStyle w:val="000000100000" w:firstRow="0" w:lastRow="0" w:firstColumn="0" w:lastColumn="0" w:oddVBand="0" w:evenVBand="0" w:oddHBand="1" w:evenHBand="0" w:firstRowFirstColumn="0" w:firstRowLastColumn="0" w:lastRowFirstColumn="0" w:lastRowLastColumn="0"/>
            </w:pPr>
            <w:r>
              <w:t>Medium</w:t>
            </w:r>
          </w:p>
        </w:tc>
      </w:tr>
    </w:tbl>
    <w:p w14:paraId="2978D9A9" w14:textId="2593DF29" w:rsidR="004558D9" w:rsidRPr="00C25F62" w:rsidRDefault="003D7D4E" w:rsidP="0032701F">
      <w:r>
        <w:t xml:space="preserve">As no detailed masterplans are currently available it is not possible to provide estimates of the </w:t>
      </w:r>
      <w:r w:rsidR="00B50C3E">
        <w:t xml:space="preserve">expected net change in </w:t>
      </w:r>
      <w:r w:rsidR="00C771A6">
        <w:t>units post-development.</w:t>
      </w:r>
    </w:p>
    <w:p w14:paraId="0EC71F4D" w14:textId="21147929" w:rsidR="00DE43F2" w:rsidRPr="006E3430" w:rsidRDefault="00DE43F2" w:rsidP="0032701F">
      <w:pPr>
        <w:rPr>
          <w:b/>
          <w:bCs/>
        </w:rPr>
      </w:pPr>
      <w:r w:rsidRPr="006E3430">
        <w:rPr>
          <w:b/>
          <w:bCs/>
        </w:rPr>
        <w:t xml:space="preserve">Protected </w:t>
      </w:r>
      <w:r w:rsidR="00260398" w:rsidRPr="006E3430">
        <w:rPr>
          <w:b/>
          <w:bCs/>
        </w:rPr>
        <w:t>S</w:t>
      </w:r>
      <w:r w:rsidRPr="006E3430">
        <w:rPr>
          <w:b/>
          <w:bCs/>
        </w:rPr>
        <w:t>pecies</w:t>
      </w:r>
    </w:p>
    <w:p w14:paraId="48EB7EFB" w14:textId="626AF7CB" w:rsidR="00260398" w:rsidRDefault="00260398" w:rsidP="00260398">
      <w:r>
        <w:t>A</w:t>
      </w:r>
      <w:r w:rsidR="00456F48">
        <w:t>lthough</w:t>
      </w:r>
      <w:r w:rsidR="007D6F52">
        <w:t xml:space="preserve"> protected species surveys were</w:t>
      </w:r>
      <w:r w:rsidR="00456F48">
        <w:t xml:space="preserve"> outside of the scope of this work</w:t>
      </w:r>
      <w:r>
        <w:t xml:space="preserve"> </w:t>
      </w:r>
      <w:r w:rsidR="007D6F52">
        <w:t xml:space="preserve">a </w:t>
      </w:r>
      <w:r>
        <w:t>summary of findings in relation to protected species is provided below</w:t>
      </w:r>
      <w:r w:rsidR="00B3149F">
        <w:t xml:space="preserve">. </w:t>
      </w:r>
      <w:r w:rsidR="003966A5">
        <w:t xml:space="preserve">A summary of </w:t>
      </w:r>
      <w:r w:rsidR="0017712A">
        <w:t xml:space="preserve">Target Notes (TN) taken </w:t>
      </w:r>
      <w:r w:rsidR="00C70572">
        <w:t>during field surveys</w:t>
      </w:r>
      <w:r w:rsidR="003966A5">
        <w:t xml:space="preserve"> is provided in </w:t>
      </w:r>
      <w:r w:rsidR="003966A5" w:rsidRPr="003966A5">
        <w:rPr>
          <w:b/>
          <w:bCs/>
        </w:rPr>
        <w:t>Table 4</w:t>
      </w:r>
      <w:r w:rsidR="0017712A">
        <w:t xml:space="preserve"> </w:t>
      </w:r>
      <w:r w:rsidR="003966A5">
        <w:t xml:space="preserve">and </w:t>
      </w:r>
      <w:r w:rsidR="0017712A">
        <w:t xml:space="preserve">shown on </w:t>
      </w:r>
      <w:r w:rsidR="0017712A" w:rsidRPr="0017712A">
        <w:rPr>
          <w:b/>
          <w:bCs/>
        </w:rPr>
        <w:t>Figure 1</w:t>
      </w:r>
      <w:r>
        <w:t>:</w:t>
      </w:r>
    </w:p>
    <w:p w14:paraId="0D733755" w14:textId="52AD9211" w:rsidR="00260398" w:rsidRDefault="00260398" w:rsidP="00260398">
      <w:pPr>
        <w:pStyle w:val="ListParagraph"/>
        <w:numPr>
          <w:ilvl w:val="0"/>
          <w:numId w:val="5"/>
        </w:numPr>
      </w:pPr>
      <w:r>
        <w:rPr>
          <w:b/>
          <w:bCs/>
        </w:rPr>
        <w:t xml:space="preserve">Bats </w:t>
      </w:r>
      <w:r>
        <w:t xml:space="preserve">– The Site was </w:t>
      </w:r>
      <w:r w:rsidRPr="00B86353">
        <w:t>of low suitability for foraging and commuting bats</w:t>
      </w:r>
      <w:r w:rsidR="00620023" w:rsidRPr="00B86353">
        <w:t>,</w:t>
      </w:r>
      <w:r w:rsidR="00620023">
        <w:t xml:space="preserve"> with suitable habitats limited to the hedgerows and tree lines along the field boundaries</w:t>
      </w:r>
      <w:r>
        <w:t>.</w:t>
      </w:r>
      <w:r w:rsidR="00620023">
        <w:t xml:space="preserve"> A full ground level tree assessment (GLTA) for bats was not </w:t>
      </w:r>
      <w:proofErr w:type="gramStart"/>
      <w:r w:rsidR="00620023">
        <w:t>undertaken,</w:t>
      </w:r>
      <w:proofErr w:type="gramEnd"/>
      <w:r w:rsidR="00620023">
        <w:t xml:space="preserve"> however a </w:t>
      </w:r>
      <w:r w:rsidR="00904ED5">
        <w:t>high-level</w:t>
      </w:r>
      <w:r w:rsidR="00620023">
        <w:t xml:space="preserve"> assessment</w:t>
      </w:r>
      <w:r w:rsidR="003261D0">
        <w:t xml:space="preserve"> identified </w:t>
      </w:r>
      <w:proofErr w:type="gramStart"/>
      <w:r w:rsidR="003261D0">
        <w:t>a number of</w:t>
      </w:r>
      <w:proofErr w:type="gramEnd"/>
      <w:r w:rsidR="003261D0">
        <w:t xml:space="preserve"> trees with bat roosting potential, these are shown on </w:t>
      </w:r>
      <w:r w:rsidR="003261D0" w:rsidRPr="003261D0">
        <w:rPr>
          <w:b/>
          <w:bCs/>
        </w:rPr>
        <w:t>Figure 1</w:t>
      </w:r>
      <w:r w:rsidR="003261D0">
        <w:t>.</w:t>
      </w:r>
    </w:p>
    <w:p w14:paraId="181E6AAF" w14:textId="0E7A8E8B" w:rsidR="00260398" w:rsidRPr="002A301D" w:rsidRDefault="00260398" w:rsidP="00260398">
      <w:pPr>
        <w:pStyle w:val="ListParagraph"/>
        <w:numPr>
          <w:ilvl w:val="0"/>
          <w:numId w:val="5"/>
        </w:numPr>
      </w:pPr>
      <w:r>
        <w:rPr>
          <w:b/>
          <w:bCs/>
        </w:rPr>
        <w:t xml:space="preserve">Birds </w:t>
      </w:r>
      <w:r>
        <w:t>– The Site provided</w:t>
      </w:r>
      <w:r w:rsidRPr="00944C0F">
        <w:t xml:space="preserve"> suitable habitat for nesting birds,</w:t>
      </w:r>
      <w:r>
        <w:t xml:space="preserve"> including ground nesting species such as skylark</w:t>
      </w:r>
      <w:r w:rsidR="00BC3B00">
        <w:t xml:space="preserve"> given the arable habitat</w:t>
      </w:r>
      <w:r w:rsidR="004E6E3D">
        <w:t>.</w:t>
      </w:r>
    </w:p>
    <w:p w14:paraId="61EF74E5" w14:textId="6F2F4CA3" w:rsidR="00260398" w:rsidRPr="002A301D" w:rsidRDefault="00260398" w:rsidP="00260398">
      <w:pPr>
        <w:pStyle w:val="ListParagraph"/>
        <w:numPr>
          <w:ilvl w:val="0"/>
          <w:numId w:val="5"/>
        </w:numPr>
      </w:pPr>
      <w:r>
        <w:rPr>
          <w:b/>
          <w:bCs/>
        </w:rPr>
        <w:t xml:space="preserve">Reptiles </w:t>
      </w:r>
      <w:r>
        <w:t>– No evidence of reptiles was recorded on Site. Suitable habitat was limited to the boundary features which provided sheltering and foraging opportunities.</w:t>
      </w:r>
      <w:r w:rsidR="008444F0">
        <w:t xml:space="preserve"> Deadwood was found al</w:t>
      </w:r>
      <w:r w:rsidR="00A01EF0">
        <w:t>o</w:t>
      </w:r>
      <w:r w:rsidR="008444F0">
        <w:t xml:space="preserve">ng hedgerow bases with opportunities for </w:t>
      </w:r>
      <w:r w:rsidR="00A01EF0">
        <w:t>refugia and hibernation for reptiles (TN 1).</w:t>
      </w:r>
    </w:p>
    <w:p w14:paraId="3A644D4F" w14:textId="14EAC4A4" w:rsidR="00260398" w:rsidRDefault="00620023" w:rsidP="00260398">
      <w:pPr>
        <w:pStyle w:val="ListParagraph"/>
        <w:numPr>
          <w:ilvl w:val="0"/>
          <w:numId w:val="5"/>
        </w:numPr>
      </w:pPr>
      <w:r>
        <w:rPr>
          <w:b/>
          <w:bCs/>
        </w:rPr>
        <w:t xml:space="preserve">Amphibians (including </w:t>
      </w:r>
      <w:r w:rsidR="00044BF0">
        <w:rPr>
          <w:b/>
          <w:bCs/>
        </w:rPr>
        <w:t>G</w:t>
      </w:r>
      <w:r w:rsidR="00260398">
        <w:rPr>
          <w:b/>
          <w:bCs/>
        </w:rPr>
        <w:t xml:space="preserve">reat </w:t>
      </w:r>
      <w:r w:rsidR="001F7771">
        <w:rPr>
          <w:b/>
          <w:bCs/>
        </w:rPr>
        <w:t>C</w:t>
      </w:r>
      <w:r w:rsidR="00260398">
        <w:rPr>
          <w:b/>
          <w:bCs/>
        </w:rPr>
        <w:t xml:space="preserve">rested </w:t>
      </w:r>
      <w:r w:rsidR="001F7771">
        <w:rPr>
          <w:b/>
          <w:bCs/>
        </w:rPr>
        <w:t>N</w:t>
      </w:r>
      <w:r w:rsidR="00260398">
        <w:rPr>
          <w:b/>
          <w:bCs/>
        </w:rPr>
        <w:t>ewt</w:t>
      </w:r>
      <w:r>
        <w:rPr>
          <w:b/>
          <w:bCs/>
        </w:rPr>
        <w:t>)</w:t>
      </w:r>
      <w:r w:rsidR="00260398">
        <w:rPr>
          <w:b/>
          <w:bCs/>
        </w:rPr>
        <w:t xml:space="preserve"> </w:t>
      </w:r>
      <w:r w:rsidR="00260398">
        <w:t>–</w:t>
      </w:r>
      <w:r w:rsidR="004E6E3D">
        <w:t xml:space="preserve"> </w:t>
      </w:r>
      <w:proofErr w:type="gramStart"/>
      <w:r w:rsidR="004E6E3D">
        <w:t>a number of</w:t>
      </w:r>
      <w:proofErr w:type="gramEnd"/>
      <w:r w:rsidR="004E6E3D">
        <w:t xml:space="preserve"> wet ditches were identified within the Site with connectivity to the wider landscape.</w:t>
      </w:r>
      <w:r w:rsidR="004A39F7">
        <w:t xml:space="preserve"> A search was not carried out for </w:t>
      </w:r>
      <w:r w:rsidR="000B6273">
        <w:t>waterbodies within 500m of the Site</w:t>
      </w:r>
      <w:r>
        <w:t xml:space="preserve"> </w:t>
      </w:r>
      <w:r w:rsidR="004A39F7">
        <w:t>that may be</w:t>
      </w:r>
      <w:r>
        <w:t xml:space="preserve"> functionally connected with the Site</w:t>
      </w:r>
      <w:r w:rsidR="000B6273">
        <w:t>.</w:t>
      </w:r>
      <w:r>
        <w:t xml:space="preserve"> The Site provided negligible terrestrial habitat for </w:t>
      </w:r>
      <w:r w:rsidR="008F0E9B">
        <w:t>amphibians</w:t>
      </w:r>
      <w:r>
        <w:t xml:space="preserve">, with </w:t>
      </w:r>
      <w:proofErr w:type="gramStart"/>
      <w:r>
        <w:t>the majority of</w:t>
      </w:r>
      <w:proofErr w:type="gramEnd"/>
      <w:r>
        <w:t xml:space="preserve"> the Site being cropland. </w:t>
      </w:r>
      <w:r w:rsidR="008F0E9B">
        <w:t>However, t</w:t>
      </w:r>
      <w:r>
        <w:t xml:space="preserve">he field margins </w:t>
      </w:r>
      <w:r w:rsidR="008F0E9B">
        <w:t>include</w:t>
      </w:r>
      <w:r w:rsidR="00904ED5">
        <w:t xml:space="preserve"> </w:t>
      </w:r>
      <w:r w:rsidR="008F0E9B">
        <w:t>bramble scrub and native hedgerows</w:t>
      </w:r>
      <w:r w:rsidR="00904ED5">
        <w:t>,</w:t>
      </w:r>
      <w:r w:rsidR="008F0E9B">
        <w:t xml:space="preserve"> which provide sheltering opportunities. </w:t>
      </w:r>
      <w:r w:rsidR="00A01EF0">
        <w:t xml:space="preserve"> </w:t>
      </w:r>
      <w:r w:rsidR="00A01EF0">
        <w:t xml:space="preserve">Deadwood was found along hedgerow bases with opportunities for refugia and hibernation for </w:t>
      </w:r>
      <w:r w:rsidR="00A01EF0">
        <w:t>amphibians</w:t>
      </w:r>
      <w:r w:rsidR="00A01EF0">
        <w:t xml:space="preserve"> (TN1).</w:t>
      </w:r>
    </w:p>
    <w:p w14:paraId="34F69A8E" w14:textId="27F66B6C" w:rsidR="00260398" w:rsidRDefault="00260398" w:rsidP="00260398">
      <w:pPr>
        <w:pStyle w:val="ListParagraph"/>
        <w:numPr>
          <w:ilvl w:val="0"/>
          <w:numId w:val="5"/>
        </w:numPr>
      </w:pPr>
      <w:r>
        <w:rPr>
          <w:b/>
          <w:bCs/>
        </w:rPr>
        <w:t xml:space="preserve">Badger </w:t>
      </w:r>
      <w:r>
        <w:t xml:space="preserve">– </w:t>
      </w:r>
      <w:r w:rsidR="00644328">
        <w:t xml:space="preserve">A badger latrine was recorded </w:t>
      </w:r>
      <w:r w:rsidR="00F86137">
        <w:t xml:space="preserve">outside of the Site but within 5m of the Site boundary. No evidence of sett building activity was recorded. The Site </w:t>
      </w:r>
      <w:r w:rsidR="00473742">
        <w:t xml:space="preserve">is suitable to support </w:t>
      </w:r>
      <w:r>
        <w:t>foraging, commuting and sett-building habitat</w:t>
      </w:r>
      <w:r w:rsidR="00904ED5">
        <w:t xml:space="preserve"> due to the presence of arable field margins and bramble scrub</w:t>
      </w:r>
      <w:r>
        <w:t>.</w:t>
      </w:r>
    </w:p>
    <w:p w14:paraId="32127756" w14:textId="1120BB1F" w:rsidR="00904ED5" w:rsidRPr="00B27F83" w:rsidRDefault="00904ED5" w:rsidP="00904ED5">
      <w:pPr>
        <w:pStyle w:val="ListParagraph"/>
        <w:numPr>
          <w:ilvl w:val="0"/>
          <w:numId w:val="5"/>
        </w:numPr>
        <w:rPr>
          <w:b/>
          <w:bCs/>
        </w:rPr>
      </w:pPr>
      <w:r>
        <w:rPr>
          <w:b/>
          <w:bCs/>
        </w:rPr>
        <w:t xml:space="preserve">Hazel dormouse </w:t>
      </w:r>
      <w:r w:rsidR="00F1541A">
        <w:t>–</w:t>
      </w:r>
      <w:r>
        <w:t xml:space="preserve"> </w:t>
      </w:r>
      <w:r w:rsidR="0081496C">
        <w:t xml:space="preserve">Native hedgerows provide </w:t>
      </w:r>
      <w:r w:rsidR="008860A5">
        <w:t>potential habitat</w:t>
      </w:r>
      <w:r w:rsidR="00E861F1">
        <w:t xml:space="preserve"> for dormice although connectivity</w:t>
      </w:r>
      <w:r w:rsidR="008860A5">
        <w:t xml:space="preserve"> </w:t>
      </w:r>
      <w:r w:rsidR="00B87F22">
        <w:t>to</w:t>
      </w:r>
      <w:r w:rsidR="008860A5">
        <w:t xml:space="preserve"> </w:t>
      </w:r>
      <w:r w:rsidR="00B87F22">
        <w:t>t</w:t>
      </w:r>
      <w:r w:rsidR="008860A5">
        <w:t>h</w:t>
      </w:r>
      <w:r w:rsidR="00B87F22">
        <w:t>e</w:t>
      </w:r>
      <w:r w:rsidR="008860A5">
        <w:t xml:space="preserve"> wider landscape is generally poor</w:t>
      </w:r>
      <w:r w:rsidR="00E861F1">
        <w:t xml:space="preserve"> reducing</w:t>
      </w:r>
      <w:r w:rsidR="00E36DBC">
        <w:t xml:space="preserve"> </w:t>
      </w:r>
      <w:r w:rsidR="00E861F1">
        <w:t xml:space="preserve">the potential for this species on </w:t>
      </w:r>
      <w:r w:rsidR="001D70D8">
        <w:t>S</w:t>
      </w:r>
      <w:r w:rsidR="00E861F1">
        <w:t>ite</w:t>
      </w:r>
      <w:r w:rsidR="00E36DBC">
        <w:t>.</w:t>
      </w:r>
      <w:r w:rsidR="00224298">
        <w:t xml:space="preserve"> </w:t>
      </w:r>
      <w:r w:rsidR="00B42D76">
        <w:t xml:space="preserve">The </w:t>
      </w:r>
      <w:r w:rsidR="00C54461">
        <w:t>surrounding environment is</w:t>
      </w:r>
      <w:r w:rsidR="00B42D76">
        <w:t xml:space="preserve"> heavily managed for agriculture further </w:t>
      </w:r>
      <w:r w:rsidR="00C54461">
        <w:t>reducing</w:t>
      </w:r>
      <w:r w:rsidR="00B42D76">
        <w:t xml:space="preserve"> </w:t>
      </w:r>
      <w:r w:rsidR="00C54461">
        <w:t>the likelihood of metapopulations of dormice existing within the wider landscape.</w:t>
      </w:r>
    </w:p>
    <w:p w14:paraId="7393FEAB" w14:textId="40E237F1" w:rsidR="00260398" w:rsidRDefault="00260398" w:rsidP="00D40CEE">
      <w:pPr>
        <w:pStyle w:val="ListParagraph"/>
        <w:numPr>
          <w:ilvl w:val="0"/>
          <w:numId w:val="5"/>
        </w:numPr>
      </w:pPr>
      <w:r>
        <w:rPr>
          <w:b/>
          <w:bCs/>
        </w:rPr>
        <w:lastRenderedPageBreak/>
        <w:t>Otter</w:t>
      </w:r>
      <w:r>
        <w:t>– No evidence of otter was recorded on or adjacent to the Site</w:t>
      </w:r>
      <w:r w:rsidR="008F0E9B">
        <w:t xml:space="preserve"> and </w:t>
      </w:r>
      <w:r w:rsidR="000422D7">
        <w:t xml:space="preserve">the ditches </w:t>
      </w:r>
      <w:proofErr w:type="gramStart"/>
      <w:r w:rsidR="000422D7">
        <w:t>are considered to be</w:t>
      </w:r>
      <w:proofErr w:type="gramEnd"/>
      <w:r w:rsidR="000422D7">
        <w:t xml:space="preserve"> unsuitable to support otter beyond </w:t>
      </w:r>
      <w:r w:rsidR="00D40CEE">
        <w:t xml:space="preserve">occasional commuting. The site is not considered to be suitable for holt creation. </w:t>
      </w:r>
      <w:r w:rsidR="00224298">
        <w:t xml:space="preserve">Otter </w:t>
      </w:r>
      <w:proofErr w:type="gramStart"/>
      <w:r w:rsidR="00224298">
        <w:t>are</w:t>
      </w:r>
      <w:proofErr w:type="gramEnd"/>
      <w:r w:rsidR="00224298">
        <w:t xml:space="preserve"> therefore scoped out of further assessment.</w:t>
      </w:r>
    </w:p>
    <w:p w14:paraId="0F9DD219" w14:textId="6CC1BB26" w:rsidR="00260398" w:rsidRDefault="00260398" w:rsidP="003C2D81">
      <w:pPr>
        <w:pStyle w:val="ListParagraph"/>
        <w:numPr>
          <w:ilvl w:val="0"/>
          <w:numId w:val="5"/>
        </w:numPr>
      </w:pPr>
      <w:r>
        <w:rPr>
          <w:b/>
          <w:bCs/>
        </w:rPr>
        <w:t xml:space="preserve">Water vole </w:t>
      </w:r>
      <w:r>
        <w:t>– No evidence of water vole was recorded on Site</w:t>
      </w:r>
      <w:r w:rsidR="00D40CEE">
        <w:t>. The ditches on site are too shaded and lack</w:t>
      </w:r>
      <w:r w:rsidR="00A02F19">
        <w:t xml:space="preserve"> </w:t>
      </w:r>
      <w:r w:rsidR="003C2D81">
        <w:t>sufficient</w:t>
      </w:r>
      <w:r w:rsidR="00D40CEE">
        <w:t xml:space="preserve"> </w:t>
      </w:r>
      <w:r w:rsidR="00A02F19">
        <w:t>emergent</w:t>
      </w:r>
      <w:r w:rsidR="00D40CEE">
        <w:t xml:space="preserve"> aquatic vegetation</w:t>
      </w:r>
      <w:r w:rsidR="00A02F19">
        <w:t xml:space="preserve"> to provide high quality water v</w:t>
      </w:r>
      <w:r w:rsidR="00255FBF">
        <w:t>o</w:t>
      </w:r>
      <w:r w:rsidR="00A02F19">
        <w:t xml:space="preserve">le habitat. </w:t>
      </w:r>
      <w:r w:rsidR="00DF5E39">
        <w:t xml:space="preserve">The Site is therefore unlikely to support resident water </w:t>
      </w:r>
      <w:r w:rsidR="003C2D81">
        <w:t>vole</w:t>
      </w:r>
      <w:r w:rsidR="00DF5E39">
        <w:t xml:space="preserve"> populations with </w:t>
      </w:r>
      <w:r w:rsidR="003C2D81">
        <w:t xml:space="preserve">low potential for commuting within ditches remaining. </w:t>
      </w:r>
      <w:r w:rsidR="00224298">
        <w:t xml:space="preserve">Water </w:t>
      </w:r>
      <w:proofErr w:type="gramStart"/>
      <w:r w:rsidR="00224298">
        <w:t>vole</w:t>
      </w:r>
      <w:proofErr w:type="gramEnd"/>
      <w:r w:rsidR="00224298">
        <w:t xml:space="preserve"> </w:t>
      </w:r>
      <w:r w:rsidR="00224298">
        <w:t>are therefore scoped out of further assessment.</w:t>
      </w:r>
    </w:p>
    <w:p w14:paraId="3491B2D1" w14:textId="6E866121" w:rsidR="00260398" w:rsidRDefault="00260398" w:rsidP="00260398">
      <w:pPr>
        <w:pStyle w:val="ListParagraph"/>
        <w:numPr>
          <w:ilvl w:val="0"/>
          <w:numId w:val="5"/>
        </w:numPr>
        <w:rPr>
          <w:b/>
          <w:bCs/>
        </w:rPr>
      </w:pPr>
      <w:r w:rsidRPr="002A301D">
        <w:rPr>
          <w:b/>
          <w:bCs/>
        </w:rPr>
        <w:t>Hedgehog</w:t>
      </w:r>
      <w:r>
        <w:t xml:space="preserve"> - No evidence of hedgehog</w:t>
      </w:r>
      <w:r w:rsidR="008F0E9B">
        <w:t xml:space="preserve"> was identified</w:t>
      </w:r>
      <w:r>
        <w:t xml:space="preserve"> on Site</w:t>
      </w:r>
      <w:r w:rsidR="008F0E9B">
        <w:t xml:space="preserve">, however the Site provided suitable foraging and </w:t>
      </w:r>
      <w:r w:rsidR="001C7487">
        <w:t>sheltering habitat, including hedgerows and arable land.</w:t>
      </w:r>
    </w:p>
    <w:p w14:paraId="5485DC6F" w14:textId="0394499A" w:rsidR="00260398" w:rsidRPr="00904ED5" w:rsidRDefault="00260398" w:rsidP="00260398">
      <w:pPr>
        <w:pStyle w:val="ListParagraph"/>
        <w:numPr>
          <w:ilvl w:val="0"/>
          <w:numId w:val="5"/>
        </w:numPr>
        <w:rPr>
          <w:b/>
          <w:bCs/>
        </w:rPr>
      </w:pPr>
      <w:r>
        <w:rPr>
          <w:b/>
          <w:bCs/>
        </w:rPr>
        <w:t xml:space="preserve">Brown </w:t>
      </w:r>
      <w:proofErr w:type="spellStart"/>
      <w:r>
        <w:rPr>
          <w:b/>
          <w:bCs/>
        </w:rPr>
        <w:t>hare</w:t>
      </w:r>
      <w:proofErr w:type="spellEnd"/>
      <w:r>
        <w:rPr>
          <w:b/>
          <w:bCs/>
        </w:rPr>
        <w:t xml:space="preserve"> </w:t>
      </w:r>
      <w:r>
        <w:t>–</w:t>
      </w:r>
      <w:r w:rsidR="00904ED5">
        <w:t>The Site provided suitable habitat for brown hare given the presence of arable land.</w:t>
      </w:r>
    </w:p>
    <w:p w14:paraId="7E14AEDA" w14:textId="5481893E" w:rsidR="00904ED5" w:rsidRPr="00C70572" w:rsidRDefault="00904ED5" w:rsidP="00260398">
      <w:pPr>
        <w:pStyle w:val="ListParagraph"/>
        <w:numPr>
          <w:ilvl w:val="0"/>
          <w:numId w:val="5"/>
        </w:numPr>
        <w:rPr>
          <w:b/>
          <w:bCs/>
        </w:rPr>
      </w:pPr>
      <w:r>
        <w:rPr>
          <w:b/>
          <w:bCs/>
        </w:rPr>
        <w:t xml:space="preserve">Invertebrates </w:t>
      </w:r>
      <w:r>
        <w:t>– The Site is likely to support common and widespread invertebrates given the arable habitats, bramble scrub and native hedgerow.</w:t>
      </w:r>
    </w:p>
    <w:p w14:paraId="77F05E81" w14:textId="0A97FFA0" w:rsidR="00C70572" w:rsidRPr="00A36BF7" w:rsidRDefault="00C70572" w:rsidP="00C70572">
      <w:pPr>
        <w:rPr>
          <w:rFonts w:cstheme="minorHAnsi"/>
          <w:i/>
          <w:iCs/>
        </w:rPr>
      </w:pPr>
      <w:r w:rsidRPr="00A36BF7">
        <w:rPr>
          <w:rFonts w:cstheme="minorHAnsi"/>
          <w:i/>
          <w:iCs/>
        </w:rPr>
        <w:t xml:space="preserve">Table </w:t>
      </w:r>
      <w:r>
        <w:rPr>
          <w:rFonts w:cstheme="minorHAnsi"/>
          <w:i/>
          <w:iCs/>
        </w:rPr>
        <w:t>4</w:t>
      </w:r>
      <w:r w:rsidRPr="00A36BF7">
        <w:rPr>
          <w:rFonts w:cstheme="minorHAnsi"/>
          <w:i/>
          <w:iCs/>
        </w:rPr>
        <w:t xml:space="preserve"> </w:t>
      </w:r>
      <w:r>
        <w:rPr>
          <w:rFonts w:cstheme="minorHAnsi"/>
          <w:i/>
          <w:iCs/>
        </w:rPr>
        <w:t>Target Notes</w:t>
      </w:r>
    </w:p>
    <w:tbl>
      <w:tblPr>
        <w:tblStyle w:val="TableGrid1"/>
        <w:tblW w:w="0" w:type="auto"/>
        <w:tblLook w:val="04A0" w:firstRow="1" w:lastRow="0" w:firstColumn="1" w:lastColumn="0" w:noHBand="0" w:noVBand="1"/>
      </w:tblPr>
      <w:tblGrid>
        <w:gridCol w:w="2543"/>
        <w:gridCol w:w="6666"/>
      </w:tblGrid>
      <w:tr w:rsidR="00E70D1C" w14:paraId="493451D0" w14:textId="77777777" w:rsidTr="00E70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5B6664BC" w14:textId="5CF6A9EE" w:rsidR="00E70D1C" w:rsidRDefault="00E70D1C" w:rsidP="003C19B9">
            <w:r>
              <w:t>Target Notes</w:t>
            </w:r>
          </w:p>
        </w:tc>
        <w:tc>
          <w:tcPr>
            <w:tcW w:w="6666" w:type="dxa"/>
          </w:tcPr>
          <w:p w14:paraId="02337377" w14:textId="6676E19D" w:rsidR="00E70D1C" w:rsidRDefault="00E70D1C" w:rsidP="003C19B9">
            <w:pPr>
              <w:cnfStyle w:val="100000000000" w:firstRow="1" w:lastRow="0" w:firstColumn="0" w:lastColumn="0" w:oddVBand="0" w:evenVBand="0" w:oddHBand="0" w:evenHBand="0" w:firstRowFirstColumn="0" w:firstRowLastColumn="0" w:lastRowFirstColumn="0" w:lastRowLastColumn="0"/>
            </w:pPr>
            <w:r>
              <w:t>Description</w:t>
            </w:r>
          </w:p>
        </w:tc>
      </w:tr>
      <w:tr w:rsidR="00E70D1C" w14:paraId="3EFFFA2F" w14:textId="77777777" w:rsidTr="00E70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733714E" w14:textId="5C10F6D0" w:rsidR="00E70D1C" w:rsidRDefault="00FB06DC" w:rsidP="003C19B9">
            <w:r>
              <w:t>1</w:t>
            </w:r>
          </w:p>
        </w:tc>
        <w:tc>
          <w:tcPr>
            <w:tcW w:w="6666" w:type="dxa"/>
          </w:tcPr>
          <w:p w14:paraId="0B8EB7FF" w14:textId="057A57F3" w:rsidR="00E70D1C" w:rsidRDefault="00A02F19" w:rsidP="003C19B9">
            <w:pPr>
              <w:cnfStyle w:val="000000100000" w:firstRow="0" w:lastRow="0" w:firstColumn="0" w:lastColumn="0" w:oddVBand="0" w:evenVBand="0" w:oddHBand="1" w:evenHBand="0" w:firstRowFirstColumn="0" w:firstRowLastColumn="0" w:lastRowFirstColumn="0" w:lastRowLastColumn="0"/>
            </w:pPr>
            <w:r w:rsidRPr="00A02F19">
              <w:t xml:space="preserve">Deadwood along hedgerow base </w:t>
            </w:r>
            <w:r>
              <w:t xml:space="preserve">provides opportunities </w:t>
            </w:r>
            <w:r w:rsidRPr="00A02F19">
              <w:t>for invert</w:t>
            </w:r>
            <w:r>
              <w:t>ebrates</w:t>
            </w:r>
            <w:r w:rsidRPr="00A02F19">
              <w:t>, reptiles, amphibians</w:t>
            </w:r>
            <w:r>
              <w:t xml:space="preserve"> and</w:t>
            </w:r>
            <w:r w:rsidRPr="00A02F19">
              <w:t xml:space="preserve"> hedgehog</w:t>
            </w:r>
            <w:r>
              <w:t>.</w:t>
            </w:r>
          </w:p>
        </w:tc>
      </w:tr>
      <w:tr w:rsidR="00E70D1C" w14:paraId="6C3211FC" w14:textId="77777777" w:rsidTr="00E70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D2DA141" w14:textId="79684C53" w:rsidR="00E70D1C" w:rsidRDefault="00E70D1C" w:rsidP="003C19B9">
            <w:r>
              <w:t>2</w:t>
            </w:r>
          </w:p>
        </w:tc>
        <w:tc>
          <w:tcPr>
            <w:tcW w:w="6666" w:type="dxa"/>
          </w:tcPr>
          <w:p w14:paraId="5A90460E" w14:textId="44184A87" w:rsidR="00E70D1C" w:rsidRDefault="00E70D1C" w:rsidP="003C19B9">
            <w:pPr>
              <w:cnfStyle w:val="000000010000" w:firstRow="0" w:lastRow="0" w:firstColumn="0" w:lastColumn="0" w:oddVBand="0" w:evenVBand="0" w:oddHBand="0" w:evenHBand="1" w:firstRowFirstColumn="0" w:firstRowLastColumn="0" w:lastRowFirstColumn="0" w:lastRowLastColumn="0"/>
            </w:pPr>
            <w:r w:rsidRPr="00E70D1C">
              <w:t>End of ditch widens with higher water levels suitable for GCN.</w:t>
            </w:r>
          </w:p>
        </w:tc>
      </w:tr>
      <w:tr w:rsidR="00E70D1C" w14:paraId="636FABB0" w14:textId="77777777" w:rsidTr="00E70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57E8EBE1" w14:textId="2455F190" w:rsidR="00E70D1C" w:rsidRDefault="00E70D1C" w:rsidP="003C19B9">
            <w:r>
              <w:t>3</w:t>
            </w:r>
          </w:p>
        </w:tc>
        <w:tc>
          <w:tcPr>
            <w:tcW w:w="6666" w:type="dxa"/>
          </w:tcPr>
          <w:p w14:paraId="1DADFB5F" w14:textId="52ECDDBC" w:rsidR="00E70D1C" w:rsidRDefault="00E70D1C" w:rsidP="003C19B9">
            <w:pPr>
              <w:cnfStyle w:val="000000100000" w:firstRow="0" w:lastRow="0" w:firstColumn="0" w:lastColumn="0" w:oddVBand="0" w:evenVBand="0" w:oddHBand="1" w:evenHBand="0" w:firstRowFirstColumn="0" w:firstRowLastColumn="0" w:lastRowFirstColumn="0" w:lastRowLastColumn="0"/>
            </w:pPr>
            <w:r>
              <w:t>Are</w:t>
            </w:r>
            <w:r w:rsidR="00044BF0">
              <w:t>a</w:t>
            </w:r>
            <w:r>
              <w:t xml:space="preserve"> </w:t>
            </w:r>
            <w:r w:rsidR="00044BF0">
              <w:t>dominated</w:t>
            </w:r>
            <w:r>
              <w:t xml:space="preserve"> by sedges suggesting wet ground conditions</w:t>
            </w:r>
            <w:r w:rsidR="00A02F19">
              <w:t>.</w:t>
            </w:r>
          </w:p>
        </w:tc>
      </w:tr>
    </w:tbl>
    <w:p w14:paraId="4DC3FBF4" w14:textId="6DF574FF" w:rsidR="00255FBF" w:rsidRDefault="00255FBF" w:rsidP="00255FBF">
      <w:pPr>
        <w:pStyle w:val="Heading1"/>
      </w:pPr>
      <w:r>
        <w:t>Summary and Next Steps</w:t>
      </w:r>
    </w:p>
    <w:p w14:paraId="6C958AA1" w14:textId="5E4777DD" w:rsidR="00DB2A67" w:rsidRDefault="00A701A0" w:rsidP="00DB2A67">
      <w:r>
        <w:t xml:space="preserve">The BNG </w:t>
      </w:r>
      <w:r w:rsidR="00DB2A67">
        <w:t xml:space="preserve">feasibility assessment has not identified any areas of the Site that </w:t>
      </w:r>
      <w:r w:rsidR="00802FEE">
        <w:t xml:space="preserve">are likely to present significant challenges for </w:t>
      </w:r>
      <w:r w:rsidR="00DB2A67">
        <w:t>offset</w:t>
      </w:r>
      <w:r w:rsidR="008C57F0">
        <w:t>ting</w:t>
      </w:r>
      <w:r w:rsidR="00DB2A67">
        <w:t xml:space="preserve"> under BNG guidance if lost to development.</w:t>
      </w:r>
      <w:r w:rsidR="00175468">
        <w:t xml:space="preserve"> A</w:t>
      </w:r>
      <w:r w:rsidR="00DB2A67">
        <w:t xml:space="preserve">reas overlapping with the </w:t>
      </w:r>
      <w:r w:rsidR="00196FA9">
        <w:t>LNRS</w:t>
      </w:r>
      <w:r w:rsidR="00DB2A67">
        <w:t xml:space="preserve"> are more sensitive </w:t>
      </w:r>
      <w:r w:rsidR="00845692">
        <w:t>but also</w:t>
      </w:r>
      <w:r w:rsidR="00DB2A67">
        <w:t xml:space="preserve"> present opportunities for habitat creation or enhancement to deliver greater benefits, due to the ‘strategic significance’ multiplier applied within the metric.</w:t>
      </w:r>
    </w:p>
    <w:p w14:paraId="6499B638" w14:textId="5AC32C28" w:rsidR="00C70572" w:rsidRDefault="00DB2A67" w:rsidP="00DB2A67">
      <w:r>
        <w:t xml:space="preserve">Impacts on </w:t>
      </w:r>
      <w:r w:rsidR="00845692">
        <w:t>‘</w:t>
      </w:r>
      <w:r>
        <w:t>native hedgerows with trees and associated ditches</w:t>
      </w:r>
      <w:r w:rsidR="00845692">
        <w:t>’</w:t>
      </w:r>
      <w:r>
        <w:t xml:space="preserve"> should be avoided where possible, as these are classified as high-distinctiveness habitats. If such features are lost, there will be a requirement to provide replacement habitats of equal or greater distinctiveness, which can be costly and challenging to achieve.</w:t>
      </w:r>
    </w:p>
    <w:p w14:paraId="0EB4AD21" w14:textId="03D79DF9" w:rsidR="00260FA1" w:rsidRDefault="008C57F0" w:rsidP="00843C20">
      <w:r>
        <w:t xml:space="preserve">Any Proposed Development </w:t>
      </w:r>
      <w:r w:rsidR="00843C20">
        <w:t xml:space="preserve">requiring the loss of habitat </w:t>
      </w:r>
      <w:r>
        <w:t xml:space="preserve">should focus as much as possible on </w:t>
      </w:r>
      <w:r w:rsidR="00845692">
        <w:t>low</w:t>
      </w:r>
      <w:r w:rsidR="00175468">
        <w:t xml:space="preserve"> value habitats such as the large areas of winter </w:t>
      </w:r>
      <w:r w:rsidR="00740B7F">
        <w:t>stubble</w:t>
      </w:r>
      <w:r w:rsidR="00260FA1">
        <w:t xml:space="preserve"> in line with the mitigation hierarchy.</w:t>
      </w:r>
    </w:p>
    <w:p w14:paraId="40F060C6" w14:textId="77777777" w:rsidR="00993B73" w:rsidRDefault="00993B73">
      <w:pPr>
        <w:spacing w:before="0" w:after="160" w:line="259" w:lineRule="auto"/>
        <w:rPr>
          <w:b/>
          <w:bCs/>
        </w:rPr>
      </w:pPr>
      <w:r>
        <w:rPr>
          <w:b/>
          <w:bCs/>
        </w:rPr>
        <w:br w:type="page"/>
      </w:r>
    </w:p>
    <w:p w14:paraId="26574370" w14:textId="70211A07" w:rsidR="0040397B" w:rsidRDefault="00664EB9" w:rsidP="001C0085">
      <w:pPr>
        <w:rPr>
          <w:b/>
          <w:bCs/>
        </w:rPr>
      </w:pPr>
      <w:r>
        <w:rPr>
          <w:b/>
          <w:bCs/>
        </w:rPr>
        <w:lastRenderedPageBreak/>
        <w:t>Summary of</w:t>
      </w:r>
      <w:r w:rsidR="00747C9A">
        <w:rPr>
          <w:b/>
          <w:bCs/>
        </w:rPr>
        <w:t xml:space="preserve"> potential constraints </w:t>
      </w:r>
      <w:r w:rsidR="001C0085">
        <w:rPr>
          <w:b/>
          <w:bCs/>
        </w:rPr>
        <w:t>identified</w:t>
      </w:r>
      <w:r w:rsidR="006362A2">
        <w:rPr>
          <w:b/>
          <w:bCs/>
        </w:rPr>
        <w:t>:</w:t>
      </w:r>
    </w:p>
    <w:p w14:paraId="4BB07C8C" w14:textId="6AA3BB59" w:rsidR="00747C9A" w:rsidRPr="00747C9A" w:rsidRDefault="00747C9A" w:rsidP="00747C9A">
      <w:pPr>
        <w:numPr>
          <w:ilvl w:val="0"/>
          <w:numId w:val="17"/>
        </w:numPr>
        <w:rPr>
          <w:b/>
          <w:bCs/>
        </w:rPr>
      </w:pPr>
      <w:r w:rsidRPr="00747C9A">
        <w:rPr>
          <w:b/>
          <w:bCs/>
        </w:rPr>
        <w:t>Trees with Bat Roost Potential</w:t>
      </w:r>
      <w:r w:rsidRPr="00747C9A">
        <w:rPr>
          <w:b/>
          <w:bCs/>
        </w:rPr>
        <w:br/>
      </w:r>
      <w:r w:rsidRPr="00747C9A">
        <w:t>Several mature and semi-mature trees, including a large ash (Tree ID 191), contain features with moderate suitability for roosting bats. Under the Wildlife and Countryside Act 1981 and Conservation of Habitats and Species Regulations 2017, bats and their roosts are strictly protected. Further surveys (Ground Level Tree Assessment and, if required, aerial inspection or emergence surveys) are recommended prior to any tree removal or works to ensure compliance and avoid committing an offence.</w:t>
      </w:r>
    </w:p>
    <w:p w14:paraId="4CA6D622" w14:textId="77777777" w:rsidR="00747C9A" w:rsidRPr="00747C9A" w:rsidRDefault="00747C9A" w:rsidP="00747C9A">
      <w:pPr>
        <w:numPr>
          <w:ilvl w:val="0"/>
          <w:numId w:val="17"/>
        </w:numPr>
        <w:rPr>
          <w:b/>
          <w:bCs/>
        </w:rPr>
      </w:pPr>
      <w:r w:rsidRPr="00747C9A">
        <w:rPr>
          <w:b/>
          <w:bCs/>
        </w:rPr>
        <w:t>Hedgerows (Priority Habitat)</w:t>
      </w:r>
      <w:r w:rsidRPr="00747C9A">
        <w:rPr>
          <w:b/>
          <w:bCs/>
        </w:rPr>
        <w:br/>
      </w:r>
      <w:r w:rsidRPr="00747C9A">
        <w:t>Native hedgerows with trees are present along site boundaries and are classified as priority habitat under Section 41 of the NERC Act 2006. Removal or significant alteration would require mitigation and compensation in line with local policy and BNG requirements.</w:t>
      </w:r>
    </w:p>
    <w:p w14:paraId="3771B6EF" w14:textId="67BB4AE3" w:rsidR="00747C9A" w:rsidRPr="00747C9A" w:rsidRDefault="00AC1157" w:rsidP="00747C9A">
      <w:pPr>
        <w:numPr>
          <w:ilvl w:val="0"/>
          <w:numId w:val="17"/>
        </w:numPr>
        <w:rPr>
          <w:b/>
          <w:bCs/>
        </w:rPr>
      </w:pPr>
      <w:r>
        <w:rPr>
          <w:b/>
          <w:bCs/>
        </w:rPr>
        <w:t>Great Crested Newt</w:t>
      </w:r>
      <w:r w:rsidR="00747C9A" w:rsidRPr="00747C9A">
        <w:rPr>
          <w:b/>
          <w:bCs/>
        </w:rPr>
        <w:t xml:space="preserve"> </w:t>
      </w:r>
      <w:r w:rsidR="00747C9A" w:rsidRPr="00747C9A">
        <w:rPr>
          <w:b/>
          <w:bCs/>
        </w:rPr>
        <w:br/>
      </w:r>
      <w:r w:rsidR="00747C9A" w:rsidRPr="00747C9A">
        <w:t xml:space="preserve">Ditches on site, although shaded and of poor condition, provide potential habitat for amphibians (including great crested newt) and commuting corridors for wildlife. Works affecting these features may require further assessment </w:t>
      </w:r>
      <w:r w:rsidR="00834D74" w:rsidRPr="005A013E">
        <w:t>such as environ</w:t>
      </w:r>
      <w:r w:rsidRPr="005A013E">
        <w:t>mental DNA (eDNA) surveys for great crested newt.</w:t>
      </w:r>
      <w:r>
        <w:rPr>
          <w:b/>
          <w:bCs/>
        </w:rPr>
        <w:t xml:space="preserve"> </w:t>
      </w:r>
    </w:p>
    <w:p w14:paraId="2083CDD6" w14:textId="77777777" w:rsidR="00747C9A" w:rsidRPr="00747C9A" w:rsidRDefault="00747C9A" w:rsidP="00747C9A">
      <w:pPr>
        <w:numPr>
          <w:ilvl w:val="0"/>
          <w:numId w:val="17"/>
        </w:numPr>
        <w:rPr>
          <w:b/>
          <w:bCs/>
        </w:rPr>
      </w:pPr>
      <w:r w:rsidRPr="00747C9A">
        <w:rPr>
          <w:b/>
          <w:bCs/>
        </w:rPr>
        <w:t>Nesting Birds</w:t>
      </w:r>
      <w:r w:rsidRPr="00747C9A">
        <w:rPr>
          <w:b/>
          <w:bCs/>
        </w:rPr>
        <w:br/>
      </w:r>
      <w:r w:rsidRPr="00747C9A">
        <w:t>Hedgerows, trees, and scrub provide suitable nesting habitat for birds. Vegetation clearance should be timed outside the breeding season (March–August) or preceded by a nesting bird check.</w:t>
      </w:r>
    </w:p>
    <w:p w14:paraId="7B7C4A81" w14:textId="7ABD4854" w:rsidR="00747C9A" w:rsidRPr="00747C9A" w:rsidRDefault="00747C9A" w:rsidP="00747C9A">
      <w:pPr>
        <w:numPr>
          <w:ilvl w:val="0"/>
          <w:numId w:val="17"/>
        </w:numPr>
        <w:rPr>
          <w:b/>
          <w:bCs/>
        </w:rPr>
      </w:pPr>
      <w:r w:rsidRPr="00747C9A">
        <w:rPr>
          <w:b/>
          <w:bCs/>
        </w:rPr>
        <w:t>Badger</w:t>
      </w:r>
      <w:r w:rsidR="00AC1157">
        <w:rPr>
          <w:b/>
          <w:bCs/>
        </w:rPr>
        <w:t>s</w:t>
      </w:r>
      <w:r w:rsidRPr="00747C9A">
        <w:rPr>
          <w:b/>
          <w:bCs/>
        </w:rPr>
        <w:br/>
      </w:r>
      <w:r w:rsidRPr="00747C9A">
        <w:t>A latrine was recorded near the site boundary, indicating local badger presence. Pre-construction checks are recommended to confirm absence of setts within or near the working area.</w:t>
      </w:r>
    </w:p>
    <w:p w14:paraId="7820856C" w14:textId="34F1093B" w:rsidR="00DE43F2" w:rsidRPr="00DE43F2" w:rsidRDefault="00DE43F2" w:rsidP="00DE43F2">
      <w:r>
        <w:rPr>
          <w:b/>
          <w:bCs/>
        </w:rPr>
        <w:t>Next Steps</w:t>
      </w:r>
    </w:p>
    <w:p w14:paraId="2EE4E6E4" w14:textId="140BC2F4" w:rsidR="00CB7A1D" w:rsidRDefault="00E27D80" w:rsidP="0032701F">
      <w:r>
        <w:t xml:space="preserve">Once a design is available to show the </w:t>
      </w:r>
      <w:r w:rsidR="00993B73">
        <w:t xml:space="preserve">proposed </w:t>
      </w:r>
      <w:r w:rsidR="00EC7814">
        <w:t>habitat</w:t>
      </w:r>
      <w:r w:rsidR="00993B73">
        <w:t>s</w:t>
      </w:r>
      <w:r w:rsidR="00EC7814">
        <w:t xml:space="preserve"> on</w:t>
      </w:r>
      <w:r w:rsidR="00C06A47">
        <w:t xml:space="preserve"> S</w:t>
      </w:r>
      <w:r w:rsidR="00EC7814">
        <w:t xml:space="preserve">ite post-development an updated </w:t>
      </w:r>
      <w:r w:rsidR="00993B73">
        <w:t>BNG</w:t>
      </w:r>
      <w:r w:rsidR="00EC7814">
        <w:t xml:space="preserve"> assessment </w:t>
      </w:r>
      <w:r w:rsidR="00E428C3">
        <w:t>should</w:t>
      </w:r>
      <w:r w:rsidR="00EC7814">
        <w:t xml:space="preserve"> be pro</w:t>
      </w:r>
      <w:r w:rsidR="00E428C3">
        <w:t>duced to calculate</w:t>
      </w:r>
      <w:r w:rsidR="00EC7814">
        <w:t xml:space="preserve"> the anticipated loss</w:t>
      </w:r>
      <w:r w:rsidR="00E428C3">
        <w:t xml:space="preserve"> or </w:t>
      </w:r>
      <w:r w:rsidR="00EC7814">
        <w:t>gain</w:t>
      </w:r>
      <w:r w:rsidR="00E428C3">
        <w:t xml:space="preserve"> in </w:t>
      </w:r>
      <w:r w:rsidR="00993B73">
        <w:t>BU</w:t>
      </w:r>
      <w:r w:rsidR="00F530F0">
        <w:t xml:space="preserve"> and ensure the Proposed Development does not bre</w:t>
      </w:r>
      <w:r w:rsidR="001B44C0">
        <w:t>a</w:t>
      </w:r>
      <w:r w:rsidR="00F530F0">
        <w:t xml:space="preserve">ch BNG trading rules. </w:t>
      </w:r>
      <w:r w:rsidR="00EC7814">
        <w:t xml:space="preserve"> </w:t>
      </w:r>
      <w:r w:rsidR="001B44C0">
        <w:t xml:space="preserve">Development design can then be refined to ensure that the Proposed Development </w:t>
      </w:r>
      <w:r w:rsidR="00633B30">
        <w:t xml:space="preserve">is </w:t>
      </w:r>
      <w:r w:rsidR="005C7B88">
        <w:t>able</w:t>
      </w:r>
      <w:r w:rsidR="00633B30">
        <w:t xml:space="preserve"> to deliver the 10% gain in </w:t>
      </w:r>
      <w:r w:rsidR="005026E2">
        <w:t>BU</w:t>
      </w:r>
      <w:r w:rsidR="00633B30">
        <w:t xml:space="preserve"> required. </w:t>
      </w:r>
    </w:p>
    <w:p w14:paraId="2D6D4062" w14:textId="1BC5894F" w:rsidR="00581095" w:rsidRDefault="003352B6" w:rsidP="0032701F">
      <w:r>
        <w:t xml:space="preserve">BNG report should be accompanied by a </w:t>
      </w:r>
      <w:r w:rsidR="00581095" w:rsidRPr="00581095">
        <w:t>H</w:t>
      </w:r>
      <w:r>
        <w:t xml:space="preserve">abitat </w:t>
      </w:r>
      <w:r w:rsidR="00581095" w:rsidRPr="00581095">
        <w:t>M</w:t>
      </w:r>
      <w:r>
        <w:t xml:space="preserve">anagement and Monitoring Plan (HMMP) which </w:t>
      </w:r>
      <w:r w:rsidR="00581095" w:rsidRPr="00581095">
        <w:t xml:space="preserve">will detail how the final landscaping and ecological enhancements will be delivered within the Site, </w:t>
      </w:r>
      <w:r w:rsidR="004D6A16">
        <w:t>and any ongoing management required</w:t>
      </w:r>
      <w:r w:rsidR="00EF31AC">
        <w:t>.</w:t>
      </w:r>
    </w:p>
    <w:p w14:paraId="5BCA44CA" w14:textId="44FB0A4C" w:rsidR="00CB7A1D" w:rsidRDefault="00CB7A1D" w:rsidP="0032701F">
      <w:r>
        <w:t>Once a proposed design is understood further recommendations can be made with regards to additional survey effort for protected species</w:t>
      </w:r>
      <w:r w:rsidR="00320338">
        <w:t>. Scheme design should seek to avoid features which have been identified as having potential for protected species such as trees with potential bat roosting features where possible.</w:t>
      </w:r>
    </w:p>
    <w:p w14:paraId="74D68A93" w14:textId="0DAF4081" w:rsidR="00EF31AC" w:rsidRPr="0033383A" w:rsidRDefault="00EF31AC" w:rsidP="0032701F">
      <w:r>
        <w:t xml:space="preserve">It is recommended that a </w:t>
      </w:r>
      <w:r w:rsidR="00EF5B10">
        <w:t>desk study is carried out as per PEA methodology, this will identify the presence of Protected Sites</w:t>
      </w:r>
      <w:r w:rsidR="00263E3D">
        <w:t>, priority habitats</w:t>
      </w:r>
      <w:r w:rsidR="007B22C0">
        <w:t xml:space="preserve">, records of protected </w:t>
      </w:r>
      <w:r w:rsidR="00610FE0">
        <w:t>species</w:t>
      </w:r>
      <w:r w:rsidR="007B22C0">
        <w:t xml:space="preserve"> and waterbodies that may be suitable for protected species</w:t>
      </w:r>
      <w:r w:rsidR="00EF5B10">
        <w:t xml:space="preserve"> in the wider landsc</w:t>
      </w:r>
      <w:r w:rsidR="00263E3D">
        <w:t>ape</w:t>
      </w:r>
      <w:r w:rsidR="0007749C">
        <w:t>.</w:t>
      </w:r>
    </w:p>
    <w:sectPr w:rsidR="00EF31AC" w:rsidRPr="0033383A" w:rsidSect="003E4352">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DAD9" w14:textId="77777777" w:rsidR="00A51F79" w:rsidRDefault="00A51F79" w:rsidP="00775E81">
      <w:r>
        <w:separator/>
      </w:r>
    </w:p>
  </w:endnote>
  <w:endnote w:type="continuationSeparator" w:id="0">
    <w:p w14:paraId="72A4D674" w14:textId="77777777" w:rsidR="00A51F79" w:rsidRDefault="00A51F79" w:rsidP="007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M Sans">
    <w:altName w:val="Calibri"/>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3549" w14:textId="0DB6F963" w:rsidR="0072404D" w:rsidRPr="0072404D" w:rsidRDefault="0072404D">
    <w:pPr>
      <w:pStyle w:val="Footer"/>
      <w:rPr>
        <w:szCs w:val="20"/>
      </w:rPr>
    </w:pPr>
    <w:r w:rsidRPr="0072404D">
      <w:rPr>
        <w:rStyle w:val="Strong"/>
      </w:rPr>
      <w:t xml:space="preserve">Reference: </w:t>
    </w:r>
    <w:bookmarkStart w:id="6" w:name="FooterReference"/>
    <w:bookmarkEnd w:id="6"/>
    <w:r w:rsidR="004B518D">
      <w:rPr>
        <w:rStyle w:val="Strong"/>
        <w:b w:val="0"/>
      </w:rPr>
      <w:t>P25-</w:t>
    </w:r>
    <w:r w:rsidR="004B518D" w:rsidRPr="00E43B43">
      <w:rPr>
        <w:rStyle w:val="Strong"/>
        <w:b w:val="0"/>
      </w:rPr>
      <w:t>2504</w:t>
    </w:r>
    <w:r w:rsidR="00D47E26">
      <w:rPr>
        <w:rStyle w:val="Strong"/>
        <w:b w:val="0"/>
      </w:rPr>
      <w:t xml:space="preserve"> – Land at Orwell, Cambridgeshire.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1F6B" w14:textId="77777777" w:rsidR="00A51F79" w:rsidRDefault="00A51F79" w:rsidP="00775E81">
      <w:r>
        <w:separator/>
      </w:r>
    </w:p>
  </w:footnote>
  <w:footnote w:type="continuationSeparator" w:id="0">
    <w:p w14:paraId="1FF239EF" w14:textId="77777777" w:rsidR="00A51F79" w:rsidRDefault="00A51F79" w:rsidP="00775E81">
      <w:r>
        <w:continuationSeparator/>
      </w:r>
    </w:p>
  </w:footnote>
  <w:footnote w:id="1">
    <w:p w14:paraId="0DA06ADF" w14:textId="4C85FF10" w:rsidR="000C24BE" w:rsidRDefault="000C24BE">
      <w:pPr>
        <w:pStyle w:val="FootnoteText"/>
      </w:pPr>
      <w:r>
        <w:rPr>
          <w:rStyle w:val="FootnoteReference"/>
        </w:rPr>
        <w:footnoteRef/>
      </w:r>
      <w:r>
        <w:t xml:space="preserve"> Where habitats overlap with areas </w:t>
      </w:r>
      <w:r w:rsidR="001B42DF">
        <w:t>identified</w:t>
      </w:r>
      <w:r w:rsidR="00D22327">
        <w:t xml:space="preserve"> within the </w:t>
      </w:r>
      <w:r w:rsidR="003F6487">
        <w:t xml:space="preserve">Cambridgeshire &amp; Peterborough Local Nature Recovery Strategy Local Habitat </w:t>
      </w:r>
      <w:proofErr w:type="gramStart"/>
      <w:r w:rsidR="003F6487">
        <w:t>Map</w:t>
      </w:r>
      <w:proofErr w:type="gramEnd"/>
      <w:r w:rsidR="001B42DF">
        <w:t xml:space="preserve"> they are assigned as being Strategically Significant.</w:t>
      </w:r>
    </w:p>
  </w:footnote>
  <w:footnote w:id="2">
    <w:p w14:paraId="4FA818C0" w14:textId="24E5ADFE" w:rsidR="0067272F" w:rsidRDefault="0067272F">
      <w:pPr>
        <w:pStyle w:val="FootnoteText"/>
      </w:pPr>
      <w:r>
        <w:rPr>
          <w:rStyle w:val="FootnoteReference"/>
        </w:rPr>
        <w:footnoteRef/>
      </w:r>
      <w:r>
        <w:t xml:space="preserve"> </w:t>
      </w:r>
      <w:r w:rsidR="005C7D72">
        <w:t>Combined area calculated using ‘tree helper’ tool within the BNG metric</w:t>
      </w:r>
    </w:p>
  </w:footnote>
  <w:footnote w:id="3">
    <w:p w14:paraId="5C1CA081" w14:textId="77777777" w:rsidR="00D329EB" w:rsidRDefault="00D329EB">
      <w:pPr>
        <w:pStyle w:val="FootnoteText"/>
      </w:pPr>
      <w:r>
        <w:rPr>
          <w:rStyle w:val="FootnoteReference"/>
        </w:rPr>
        <w:footnoteRef/>
      </w:r>
      <w:r>
        <w:t xml:space="preserve"> Size assigned as per Statutory Biodiversity Metric user guide based on diameter at breast height (Small = greater than 7.5cm and less than or equal to 30cm, Medium = greater than 30cm and less than or equal to 60cm and Large = greater than 60cm and less than or equal to 90cm)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E668" w14:textId="0D603C9E" w:rsidR="00556E21" w:rsidRDefault="00B1770A">
    <w:pPr>
      <w:pStyle w:val="Header"/>
    </w:pPr>
    <w:r w:rsidRPr="00B1770A">
      <w:rPr>
        <w:noProof/>
        <w:lang w:eastAsia="en-GB"/>
      </w:rPr>
      <w:drawing>
        <wp:anchor distT="0" distB="0" distL="114300" distR="114300" simplePos="0" relativeHeight="251663360" behindDoc="1" locked="0" layoutInCell="1" allowOverlap="1" wp14:anchorId="0CB229D8" wp14:editId="29FBFB5E">
          <wp:simplePos x="0" y="0"/>
          <wp:positionH relativeFrom="margin">
            <wp:align>right</wp:align>
          </wp:positionH>
          <wp:positionV relativeFrom="paragraph">
            <wp:posOffset>-9069</wp:posOffset>
          </wp:positionV>
          <wp:extent cx="1448435" cy="467995"/>
          <wp:effectExtent l="0" t="0" r="0" b="8255"/>
          <wp:wrapSquare wrapText="bothSides"/>
          <wp:docPr id="9544429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448721" cy="468561"/>
                  </a:xfrm>
                  <a:prstGeom prst="rect">
                    <a:avLst/>
                  </a:prstGeom>
                </pic:spPr>
              </pic:pic>
            </a:graphicData>
          </a:graphic>
        </wp:anchor>
      </w:drawing>
    </w:r>
    <w:r w:rsidR="008913E8">
      <w:rPr>
        <w:noProof/>
        <w:lang w:eastAsia="en-GB"/>
      </w:rPr>
      <w:t>Orwell, Cambridgeshire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BA"/>
    <w:multiLevelType w:val="multilevel"/>
    <w:tmpl w:val="DA8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60C"/>
    <w:multiLevelType w:val="multilevel"/>
    <w:tmpl w:val="FF4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67988"/>
    <w:multiLevelType w:val="hybridMultilevel"/>
    <w:tmpl w:val="5B3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C7D62"/>
    <w:multiLevelType w:val="multilevel"/>
    <w:tmpl w:val="EC2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04810"/>
    <w:multiLevelType w:val="multilevel"/>
    <w:tmpl w:val="A6C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52C00"/>
    <w:multiLevelType w:val="multilevel"/>
    <w:tmpl w:val="89B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92577"/>
    <w:multiLevelType w:val="multilevel"/>
    <w:tmpl w:val="0D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14442"/>
    <w:multiLevelType w:val="multilevel"/>
    <w:tmpl w:val="CD8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A2716A"/>
    <w:multiLevelType w:val="multilevel"/>
    <w:tmpl w:val="84F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1914D9"/>
    <w:multiLevelType w:val="hybridMultilevel"/>
    <w:tmpl w:val="BFEC6F06"/>
    <w:lvl w:ilvl="0" w:tplc="B18263A0">
      <w:start w:val="1"/>
      <w:numFmt w:val="bullet"/>
      <w:pStyle w:val="Bulletpoints"/>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1">
      <w:start w:val="1"/>
      <w:numFmt w:val="bullet"/>
      <w:lvlText w:val=""/>
      <w:lvlJc w:val="left"/>
      <w:pPr>
        <w:ind w:left="3153" w:hanging="360"/>
      </w:pPr>
      <w:rPr>
        <w:rFonts w:ascii="Symbol" w:hAnsi="Symbol" w:hint="default"/>
      </w:rPr>
    </w:lvl>
    <w:lvl w:ilvl="3" w:tplc="08090001">
      <w:start w:val="1"/>
      <w:numFmt w:val="bullet"/>
      <w:lvlText w:val=""/>
      <w:lvlJc w:val="left"/>
      <w:pPr>
        <w:ind w:left="3873" w:hanging="360"/>
      </w:pPr>
      <w:rPr>
        <w:rFonts w:ascii="Symbol" w:hAnsi="Symbol" w:hint="default"/>
      </w:rPr>
    </w:lvl>
    <w:lvl w:ilvl="4" w:tplc="08090001">
      <w:start w:val="1"/>
      <w:numFmt w:val="bullet"/>
      <w:lvlText w:val=""/>
      <w:lvlJc w:val="left"/>
      <w:pPr>
        <w:ind w:left="4593" w:hanging="360"/>
      </w:pPr>
      <w:rPr>
        <w:rFonts w:ascii="Symbol" w:hAnsi="Symbol" w:hint="default"/>
      </w:rPr>
    </w:lvl>
    <w:lvl w:ilvl="5" w:tplc="08090001">
      <w:start w:val="1"/>
      <w:numFmt w:val="bullet"/>
      <w:lvlText w:val=""/>
      <w:lvlJc w:val="left"/>
      <w:pPr>
        <w:ind w:left="5313" w:hanging="360"/>
      </w:pPr>
      <w:rPr>
        <w:rFonts w:ascii="Symbol" w:hAnsi="Symbol" w:hint="default"/>
      </w:rPr>
    </w:lvl>
    <w:lvl w:ilvl="6" w:tplc="08090001">
      <w:start w:val="1"/>
      <w:numFmt w:val="bullet"/>
      <w:lvlText w:val=""/>
      <w:lvlJc w:val="left"/>
      <w:pPr>
        <w:ind w:left="6033" w:hanging="360"/>
      </w:pPr>
      <w:rPr>
        <w:rFonts w:ascii="Symbol" w:hAnsi="Symbol" w:hint="default"/>
      </w:rPr>
    </w:lvl>
    <w:lvl w:ilvl="7" w:tplc="08090001">
      <w:start w:val="1"/>
      <w:numFmt w:val="bullet"/>
      <w:lvlText w:val=""/>
      <w:lvlJc w:val="left"/>
      <w:pPr>
        <w:ind w:left="6753" w:hanging="360"/>
      </w:pPr>
      <w:rPr>
        <w:rFonts w:ascii="Symbol" w:hAnsi="Symbol" w:hint="default"/>
      </w:rPr>
    </w:lvl>
    <w:lvl w:ilvl="8" w:tplc="08090001">
      <w:start w:val="1"/>
      <w:numFmt w:val="bullet"/>
      <w:lvlText w:val=""/>
      <w:lvlJc w:val="left"/>
      <w:pPr>
        <w:ind w:left="7473" w:hanging="360"/>
      </w:pPr>
      <w:rPr>
        <w:rFonts w:ascii="Symbol" w:hAnsi="Symbol" w:hint="default"/>
      </w:rPr>
    </w:lvl>
  </w:abstractNum>
  <w:abstractNum w:abstractNumId="10" w15:restartNumberingAfterBreak="0">
    <w:nsid w:val="4D7C621B"/>
    <w:multiLevelType w:val="hybridMultilevel"/>
    <w:tmpl w:val="C49C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85909"/>
    <w:multiLevelType w:val="multilevel"/>
    <w:tmpl w:val="DB52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630CE"/>
    <w:multiLevelType w:val="multilevel"/>
    <w:tmpl w:val="086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0119F7"/>
    <w:multiLevelType w:val="hybridMultilevel"/>
    <w:tmpl w:val="7A94E23C"/>
    <w:lvl w:ilvl="0" w:tplc="9FD898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F7089"/>
    <w:multiLevelType w:val="multilevel"/>
    <w:tmpl w:val="195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5740C"/>
    <w:multiLevelType w:val="multilevel"/>
    <w:tmpl w:val="8ACC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767B3D"/>
    <w:multiLevelType w:val="multilevel"/>
    <w:tmpl w:val="49A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50C19"/>
    <w:multiLevelType w:val="multilevel"/>
    <w:tmpl w:val="E1D8A588"/>
    <w:lvl w:ilvl="0">
      <w:start w:val="1"/>
      <w:numFmt w:val="decimal"/>
      <w:pStyle w:val="Numberedheading1"/>
      <w:lvlText w:val="%1."/>
      <w:lvlJc w:val="left"/>
      <w:pPr>
        <w:ind w:left="1134" w:hanging="1134"/>
      </w:pPr>
      <w:rPr>
        <w:rFonts w:hint="default"/>
      </w:rPr>
    </w:lvl>
    <w:lvl w:ilvl="1">
      <w:start w:val="1"/>
      <w:numFmt w:val="decimal"/>
      <w:pStyle w:val="ListParagraph"/>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num w:numId="1" w16cid:durableId="910701299">
    <w:abstractNumId w:val="9"/>
  </w:num>
  <w:num w:numId="2" w16cid:durableId="155146153">
    <w:abstractNumId w:val="17"/>
  </w:num>
  <w:num w:numId="3" w16cid:durableId="2106071967">
    <w:abstractNumId w:val="13"/>
  </w:num>
  <w:num w:numId="4" w16cid:durableId="2146311067">
    <w:abstractNumId w:val="10"/>
  </w:num>
  <w:num w:numId="5" w16cid:durableId="1293554458">
    <w:abstractNumId w:val="2"/>
  </w:num>
  <w:num w:numId="6" w16cid:durableId="881328890">
    <w:abstractNumId w:val="1"/>
  </w:num>
  <w:num w:numId="7" w16cid:durableId="2074159832">
    <w:abstractNumId w:val="16"/>
  </w:num>
  <w:num w:numId="8" w16cid:durableId="1339230515">
    <w:abstractNumId w:val="11"/>
  </w:num>
  <w:num w:numId="9" w16cid:durableId="991759268">
    <w:abstractNumId w:val="5"/>
  </w:num>
  <w:num w:numId="10" w16cid:durableId="602106814">
    <w:abstractNumId w:val="12"/>
  </w:num>
  <w:num w:numId="11" w16cid:durableId="1368724047">
    <w:abstractNumId w:val="6"/>
  </w:num>
  <w:num w:numId="12" w16cid:durableId="1801603831">
    <w:abstractNumId w:val="3"/>
  </w:num>
  <w:num w:numId="13" w16cid:durableId="1596598678">
    <w:abstractNumId w:val="7"/>
  </w:num>
  <w:num w:numId="14" w16cid:durableId="991446326">
    <w:abstractNumId w:val="4"/>
  </w:num>
  <w:num w:numId="15" w16cid:durableId="1814441761">
    <w:abstractNumId w:val="15"/>
  </w:num>
  <w:num w:numId="16" w16cid:durableId="1608925956">
    <w:abstractNumId w:val="8"/>
  </w:num>
  <w:num w:numId="17" w16cid:durableId="1006130445">
    <w:abstractNumId w:val="0"/>
  </w:num>
  <w:num w:numId="18" w16cid:durableId="178850288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F"/>
    <w:rsid w:val="0000188C"/>
    <w:rsid w:val="00003FEE"/>
    <w:rsid w:val="000049D7"/>
    <w:rsid w:val="00005A13"/>
    <w:rsid w:val="00010B90"/>
    <w:rsid w:val="000136BB"/>
    <w:rsid w:val="00014B7B"/>
    <w:rsid w:val="00016DFA"/>
    <w:rsid w:val="000317B7"/>
    <w:rsid w:val="00034620"/>
    <w:rsid w:val="00035EA8"/>
    <w:rsid w:val="000401E6"/>
    <w:rsid w:val="00040828"/>
    <w:rsid w:val="000417E9"/>
    <w:rsid w:val="000422D7"/>
    <w:rsid w:val="00044BF0"/>
    <w:rsid w:val="00047ADA"/>
    <w:rsid w:val="00051D39"/>
    <w:rsid w:val="0005606D"/>
    <w:rsid w:val="00060825"/>
    <w:rsid w:val="00067CFE"/>
    <w:rsid w:val="0007749C"/>
    <w:rsid w:val="00084210"/>
    <w:rsid w:val="0009438A"/>
    <w:rsid w:val="000A6C85"/>
    <w:rsid w:val="000B0A14"/>
    <w:rsid w:val="000B6273"/>
    <w:rsid w:val="000C0E9A"/>
    <w:rsid w:val="000C24BE"/>
    <w:rsid w:val="000C53DA"/>
    <w:rsid w:val="000C6219"/>
    <w:rsid w:val="000D1975"/>
    <w:rsid w:val="000D288F"/>
    <w:rsid w:val="000D2A5F"/>
    <w:rsid w:val="000D6099"/>
    <w:rsid w:val="000E4B7A"/>
    <w:rsid w:val="000E53C4"/>
    <w:rsid w:val="000E6AF8"/>
    <w:rsid w:val="000F3370"/>
    <w:rsid w:val="000F3F49"/>
    <w:rsid w:val="00111392"/>
    <w:rsid w:val="00114C08"/>
    <w:rsid w:val="001205B5"/>
    <w:rsid w:val="00123FD1"/>
    <w:rsid w:val="001245EB"/>
    <w:rsid w:val="00124752"/>
    <w:rsid w:val="0012584C"/>
    <w:rsid w:val="001309AB"/>
    <w:rsid w:val="00131AA5"/>
    <w:rsid w:val="00135BCE"/>
    <w:rsid w:val="001424B9"/>
    <w:rsid w:val="0015321F"/>
    <w:rsid w:val="001537B2"/>
    <w:rsid w:val="00157603"/>
    <w:rsid w:val="00160FF1"/>
    <w:rsid w:val="00162ED7"/>
    <w:rsid w:val="00170C32"/>
    <w:rsid w:val="00174831"/>
    <w:rsid w:val="0017503A"/>
    <w:rsid w:val="00175468"/>
    <w:rsid w:val="0017712A"/>
    <w:rsid w:val="00187E4A"/>
    <w:rsid w:val="00196FA9"/>
    <w:rsid w:val="001A0F18"/>
    <w:rsid w:val="001A1367"/>
    <w:rsid w:val="001A1A0C"/>
    <w:rsid w:val="001A250F"/>
    <w:rsid w:val="001A5C30"/>
    <w:rsid w:val="001B0D9A"/>
    <w:rsid w:val="001B42DF"/>
    <w:rsid w:val="001B44C0"/>
    <w:rsid w:val="001B4C95"/>
    <w:rsid w:val="001B5412"/>
    <w:rsid w:val="001C0085"/>
    <w:rsid w:val="001C0957"/>
    <w:rsid w:val="001C7487"/>
    <w:rsid w:val="001D200A"/>
    <w:rsid w:val="001D241A"/>
    <w:rsid w:val="001D70D8"/>
    <w:rsid w:val="001E0715"/>
    <w:rsid w:val="001E6280"/>
    <w:rsid w:val="001F1DFE"/>
    <w:rsid w:val="001F2871"/>
    <w:rsid w:val="001F4C0F"/>
    <w:rsid w:val="001F6409"/>
    <w:rsid w:val="001F7455"/>
    <w:rsid w:val="001F7771"/>
    <w:rsid w:val="00200B9E"/>
    <w:rsid w:val="00200F74"/>
    <w:rsid w:val="00212ED8"/>
    <w:rsid w:val="002141F1"/>
    <w:rsid w:val="002163C3"/>
    <w:rsid w:val="002226E5"/>
    <w:rsid w:val="00224298"/>
    <w:rsid w:val="00224DCD"/>
    <w:rsid w:val="0024693F"/>
    <w:rsid w:val="00251916"/>
    <w:rsid w:val="00252166"/>
    <w:rsid w:val="002532BD"/>
    <w:rsid w:val="002554AC"/>
    <w:rsid w:val="0025557D"/>
    <w:rsid w:val="00255FBF"/>
    <w:rsid w:val="00260398"/>
    <w:rsid w:val="00260D00"/>
    <w:rsid w:val="00260FA1"/>
    <w:rsid w:val="00263E3D"/>
    <w:rsid w:val="00271ACF"/>
    <w:rsid w:val="00272784"/>
    <w:rsid w:val="00281721"/>
    <w:rsid w:val="002874D3"/>
    <w:rsid w:val="00293CF0"/>
    <w:rsid w:val="00296667"/>
    <w:rsid w:val="002A301D"/>
    <w:rsid w:val="002A69F7"/>
    <w:rsid w:val="002C7569"/>
    <w:rsid w:val="002D2184"/>
    <w:rsid w:val="002D59ED"/>
    <w:rsid w:val="002F00B1"/>
    <w:rsid w:val="002F298D"/>
    <w:rsid w:val="003136E4"/>
    <w:rsid w:val="00316A97"/>
    <w:rsid w:val="00320338"/>
    <w:rsid w:val="00322727"/>
    <w:rsid w:val="003261D0"/>
    <w:rsid w:val="003265F6"/>
    <w:rsid w:val="0032701F"/>
    <w:rsid w:val="00327FF2"/>
    <w:rsid w:val="0033341C"/>
    <w:rsid w:val="0033383A"/>
    <w:rsid w:val="003352B6"/>
    <w:rsid w:val="003369E0"/>
    <w:rsid w:val="003432ED"/>
    <w:rsid w:val="00343E8F"/>
    <w:rsid w:val="00347559"/>
    <w:rsid w:val="00352439"/>
    <w:rsid w:val="00353AE7"/>
    <w:rsid w:val="0035471B"/>
    <w:rsid w:val="0036699D"/>
    <w:rsid w:val="0036707B"/>
    <w:rsid w:val="003825F7"/>
    <w:rsid w:val="00385134"/>
    <w:rsid w:val="00391298"/>
    <w:rsid w:val="0039131B"/>
    <w:rsid w:val="00391F0C"/>
    <w:rsid w:val="003966A5"/>
    <w:rsid w:val="00396BF8"/>
    <w:rsid w:val="003A0A15"/>
    <w:rsid w:val="003B1D97"/>
    <w:rsid w:val="003C071F"/>
    <w:rsid w:val="003C257D"/>
    <w:rsid w:val="003C2D81"/>
    <w:rsid w:val="003D28EC"/>
    <w:rsid w:val="003D4DA9"/>
    <w:rsid w:val="003D7D4E"/>
    <w:rsid w:val="003E4352"/>
    <w:rsid w:val="003E5B02"/>
    <w:rsid w:val="003E6C0F"/>
    <w:rsid w:val="003F00C0"/>
    <w:rsid w:val="003F0462"/>
    <w:rsid w:val="003F0FA0"/>
    <w:rsid w:val="003F15E3"/>
    <w:rsid w:val="003F1DE0"/>
    <w:rsid w:val="003F2317"/>
    <w:rsid w:val="003F344F"/>
    <w:rsid w:val="003F437C"/>
    <w:rsid w:val="003F6487"/>
    <w:rsid w:val="0040397B"/>
    <w:rsid w:val="00406F8B"/>
    <w:rsid w:val="00411530"/>
    <w:rsid w:val="00413A11"/>
    <w:rsid w:val="00417D0D"/>
    <w:rsid w:val="00423772"/>
    <w:rsid w:val="00424C10"/>
    <w:rsid w:val="0045104D"/>
    <w:rsid w:val="004558D9"/>
    <w:rsid w:val="00456F48"/>
    <w:rsid w:val="0047110F"/>
    <w:rsid w:val="00473742"/>
    <w:rsid w:val="00474251"/>
    <w:rsid w:val="004773F0"/>
    <w:rsid w:val="004849D0"/>
    <w:rsid w:val="004933F4"/>
    <w:rsid w:val="004A39F7"/>
    <w:rsid w:val="004A663E"/>
    <w:rsid w:val="004A7D41"/>
    <w:rsid w:val="004B3A6C"/>
    <w:rsid w:val="004B518D"/>
    <w:rsid w:val="004B6C52"/>
    <w:rsid w:val="004D6A16"/>
    <w:rsid w:val="004E206B"/>
    <w:rsid w:val="004E6E3D"/>
    <w:rsid w:val="004E7B32"/>
    <w:rsid w:val="004F3753"/>
    <w:rsid w:val="004F5FE2"/>
    <w:rsid w:val="005026E2"/>
    <w:rsid w:val="00503C47"/>
    <w:rsid w:val="00504162"/>
    <w:rsid w:val="0050520C"/>
    <w:rsid w:val="005054CA"/>
    <w:rsid w:val="00513B1D"/>
    <w:rsid w:val="00522D0C"/>
    <w:rsid w:val="005232F1"/>
    <w:rsid w:val="0052697C"/>
    <w:rsid w:val="00534FCB"/>
    <w:rsid w:val="00535861"/>
    <w:rsid w:val="005378D1"/>
    <w:rsid w:val="00543700"/>
    <w:rsid w:val="00547765"/>
    <w:rsid w:val="00556E21"/>
    <w:rsid w:val="00567B86"/>
    <w:rsid w:val="00581095"/>
    <w:rsid w:val="00585D4D"/>
    <w:rsid w:val="00594C09"/>
    <w:rsid w:val="00597F97"/>
    <w:rsid w:val="005A013E"/>
    <w:rsid w:val="005A2AA8"/>
    <w:rsid w:val="005A328E"/>
    <w:rsid w:val="005A5733"/>
    <w:rsid w:val="005A697F"/>
    <w:rsid w:val="005B51D7"/>
    <w:rsid w:val="005B7B63"/>
    <w:rsid w:val="005C7B88"/>
    <w:rsid w:val="005C7D72"/>
    <w:rsid w:val="005D22E8"/>
    <w:rsid w:val="005D404B"/>
    <w:rsid w:val="005D735C"/>
    <w:rsid w:val="005E7913"/>
    <w:rsid w:val="005F08B1"/>
    <w:rsid w:val="005F32E9"/>
    <w:rsid w:val="00610FE0"/>
    <w:rsid w:val="0061115B"/>
    <w:rsid w:val="00613696"/>
    <w:rsid w:val="00616B2B"/>
    <w:rsid w:val="00620023"/>
    <w:rsid w:val="00633B30"/>
    <w:rsid w:val="006362A2"/>
    <w:rsid w:val="00637F01"/>
    <w:rsid w:val="0064168E"/>
    <w:rsid w:val="006419C3"/>
    <w:rsid w:val="00644328"/>
    <w:rsid w:val="006448BA"/>
    <w:rsid w:val="0064722E"/>
    <w:rsid w:val="0065147C"/>
    <w:rsid w:val="006520F5"/>
    <w:rsid w:val="0065353A"/>
    <w:rsid w:val="00653A48"/>
    <w:rsid w:val="0065516D"/>
    <w:rsid w:val="00655ABC"/>
    <w:rsid w:val="00664EB9"/>
    <w:rsid w:val="00671432"/>
    <w:rsid w:val="0067272F"/>
    <w:rsid w:val="00672AA9"/>
    <w:rsid w:val="00686E12"/>
    <w:rsid w:val="00696622"/>
    <w:rsid w:val="006A02D3"/>
    <w:rsid w:val="006B1DC0"/>
    <w:rsid w:val="006C0A11"/>
    <w:rsid w:val="006C12E3"/>
    <w:rsid w:val="006C297D"/>
    <w:rsid w:val="006C74B3"/>
    <w:rsid w:val="006E2EA1"/>
    <w:rsid w:val="006E3430"/>
    <w:rsid w:val="006F1B9B"/>
    <w:rsid w:val="007032BF"/>
    <w:rsid w:val="007045F1"/>
    <w:rsid w:val="00704C3F"/>
    <w:rsid w:val="00706A4E"/>
    <w:rsid w:val="00707BBB"/>
    <w:rsid w:val="00707E07"/>
    <w:rsid w:val="0071488B"/>
    <w:rsid w:val="0072404D"/>
    <w:rsid w:val="00732174"/>
    <w:rsid w:val="00734F46"/>
    <w:rsid w:val="00735CBA"/>
    <w:rsid w:val="00740B7F"/>
    <w:rsid w:val="00741AC1"/>
    <w:rsid w:val="00745C06"/>
    <w:rsid w:val="00747C9A"/>
    <w:rsid w:val="00747D71"/>
    <w:rsid w:val="007516CD"/>
    <w:rsid w:val="007652BC"/>
    <w:rsid w:val="00773B2A"/>
    <w:rsid w:val="00775C3F"/>
    <w:rsid w:val="00775E81"/>
    <w:rsid w:val="00792634"/>
    <w:rsid w:val="00792950"/>
    <w:rsid w:val="00797E92"/>
    <w:rsid w:val="007A1B3A"/>
    <w:rsid w:val="007B22C0"/>
    <w:rsid w:val="007B4106"/>
    <w:rsid w:val="007B63AB"/>
    <w:rsid w:val="007C20B3"/>
    <w:rsid w:val="007C669F"/>
    <w:rsid w:val="007C75DA"/>
    <w:rsid w:val="007D0118"/>
    <w:rsid w:val="007D054C"/>
    <w:rsid w:val="007D206B"/>
    <w:rsid w:val="007D45CF"/>
    <w:rsid w:val="007D6F52"/>
    <w:rsid w:val="007D6F88"/>
    <w:rsid w:val="007F1AC0"/>
    <w:rsid w:val="007F32F7"/>
    <w:rsid w:val="007F43DF"/>
    <w:rsid w:val="0080272E"/>
    <w:rsid w:val="00802FEE"/>
    <w:rsid w:val="008062F1"/>
    <w:rsid w:val="008064F4"/>
    <w:rsid w:val="0081496C"/>
    <w:rsid w:val="00824AB7"/>
    <w:rsid w:val="008268BC"/>
    <w:rsid w:val="00834D74"/>
    <w:rsid w:val="00842CFC"/>
    <w:rsid w:val="00843C20"/>
    <w:rsid w:val="008444F0"/>
    <w:rsid w:val="008447CC"/>
    <w:rsid w:val="00845535"/>
    <w:rsid w:val="00845692"/>
    <w:rsid w:val="0084574C"/>
    <w:rsid w:val="008475BB"/>
    <w:rsid w:val="00847970"/>
    <w:rsid w:val="00855705"/>
    <w:rsid w:val="00874B30"/>
    <w:rsid w:val="00877520"/>
    <w:rsid w:val="00882AEC"/>
    <w:rsid w:val="0088431B"/>
    <w:rsid w:val="008860A5"/>
    <w:rsid w:val="0089085A"/>
    <w:rsid w:val="00890B23"/>
    <w:rsid w:val="008913E8"/>
    <w:rsid w:val="00891647"/>
    <w:rsid w:val="008921CC"/>
    <w:rsid w:val="0089714E"/>
    <w:rsid w:val="0089722E"/>
    <w:rsid w:val="0089771F"/>
    <w:rsid w:val="008A1C52"/>
    <w:rsid w:val="008A5C22"/>
    <w:rsid w:val="008B3B9A"/>
    <w:rsid w:val="008B6914"/>
    <w:rsid w:val="008C1EE2"/>
    <w:rsid w:val="008C57F0"/>
    <w:rsid w:val="008D427E"/>
    <w:rsid w:val="008E3514"/>
    <w:rsid w:val="008E6C74"/>
    <w:rsid w:val="008F0E9B"/>
    <w:rsid w:val="008F328D"/>
    <w:rsid w:val="008F7F3C"/>
    <w:rsid w:val="00904ED5"/>
    <w:rsid w:val="00910A87"/>
    <w:rsid w:val="00914CE0"/>
    <w:rsid w:val="00915240"/>
    <w:rsid w:val="009206BC"/>
    <w:rsid w:val="009417AE"/>
    <w:rsid w:val="00942680"/>
    <w:rsid w:val="00944C0F"/>
    <w:rsid w:val="00945339"/>
    <w:rsid w:val="00946174"/>
    <w:rsid w:val="00950438"/>
    <w:rsid w:val="00950BDA"/>
    <w:rsid w:val="00951FC9"/>
    <w:rsid w:val="009549C3"/>
    <w:rsid w:val="0096191E"/>
    <w:rsid w:val="009700E8"/>
    <w:rsid w:val="00972533"/>
    <w:rsid w:val="00974CDF"/>
    <w:rsid w:val="00981594"/>
    <w:rsid w:val="00991B76"/>
    <w:rsid w:val="00993B73"/>
    <w:rsid w:val="009A42A9"/>
    <w:rsid w:val="009A59D7"/>
    <w:rsid w:val="009D091A"/>
    <w:rsid w:val="009D3438"/>
    <w:rsid w:val="009E79CC"/>
    <w:rsid w:val="00A01EF0"/>
    <w:rsid w:val="00A02F19"/>
    <w:rsid w:val="00A1440B"/>
    <w:rsid w:val="00A14DA7"/>
    <w:rsid w:val="00A1762B"/>
    <w:rsid w:val="00A24EE9"/>
    <w:rsid w:val="00A26645"/>
    <w:rsid w:val="00A36BF7"/>
    <w:rsid w:val="00A400E7"/>
    <w:rsid w:val="00A43AE7"/>
    <w:rsid w:val="00A46E03"/>
    <w:rsid w:val="00A51F79"/>
    <w:rsid w:val="00A5604D"/>
    <w:rsid w:val="00A60784"/>
    <w:rsid w:val="00A61BFF"/>
    <w:rsid w:val="00A66960"/>
    <w:rsid w:val="00A67444"/>
    <w:rsid w:val="00A701A0"/>
    <w:rsid w:val="00A72E86"/>
    <w:rsid w:val="00A74F3F"/>
    <w:rsid w:val="00A8478B"/>
    <w:rsid w:val="00A90D25"/>
    <w:rsid w:val="00A92E76"/>
    <w:rsid w:val="00A943BD"/>
    <w:rsid w:val="00AA0179"/>
    <w:rsid w:val="00AA27C4"/>
    <w:rsid w:val="00AA5120"/>
    <w:rsid w:val="00AB1005"/>
    <w:rsid w:val="00AB221E"/>
    <w:rsid w:val="00AC1157"/>
    <w:rsid w:val="00AD24D0"/>
    <w:rsid w:val="00AD591D"/>
    <w:rsid w:val="00AE06EE"/>
    <w:rsid w:val="00AE0FD6"/>
    <w:rsid w:val="00AE1D4C"/>
    <w:rsid w:val="00AF11EA"/>
    <w:rsid w:val="00AF376D"/>
    <w:rsid w:val="00AF3CE5"/>
    <w:rsid w:val="00B02DD1"/>
    <w:rsid w:val="00B0474C"/>
    <w:rsid w:val="00B06595"/>
    <w:rsid w:val="00B113C0"/>
    <w:rsid w:val="00B1736C"/>
    <w:rsid w:val="00B1770A"/>
    <w:rsid w:val="00B1786A"/>
    <w:rsid w:val="00B17FA4"/>
    <w:rsid w:val="00B21F0C"/>
    <w:rsid w:val="00B238B1"/>
    <w:rsid w:val="00B27D5E"/>
    <w:rsid w:val="00B27F83"/>
    <w:rsid w:val="00B30BC4"/>
    <w:rsid w:val="00B3149F"/>
    <w:rsid w:val="00B37FD5"/>
    <w:rsid w:val="00B42D76"/>
    <w:rsid w:val="00B4660E"/>
    <w:rsid w:val="00B46D14"/>
    <w:rsid w:val="00B50C3E"/>
    <w:rsid w:val="00B5302C"/>
    <w:rsid w:val="00B53647"/>
    <w:rsid w:val="00B56856"/>
    <w:rsid w:val="00B57DE5"/>
    <w:rsid w:val="00B60759"/>
    <w:rsid w:val="00B72AD5"/>
    <w:rsid w:val="00B75FA9"/>
    <w:rsid w:val="00B8083D"/>
    <w:rsid w:val="00B86353"/>
    <w:rsid w:val="00B87F22"/>
    <w:rsid w:val="00B90B5C"/>
    <w:rsid w:val="00B9328E"/>
    <w:rsid w:val="00BA1026"/>
    <w:rsid w:val="00BA46E5"/>
    <w:rsid w:val="00BB2164"/>
    <w:rsid w:val="00BB48B6"/>
    <w:rsid w:val="00BB774C"/>
    <w:rsid w:val="00BC3B00"/>
    <w:rsid w:val="00BD1A4C"/>
    <w:rsid w:val="00BD1F6F"/>
    <w:rsid w:val="00BD55B3"/>
    <w:rsid w:val="00BD7A31"/>
    <w:rsid w:val="00BE0479"/>
    <w:rsid w:val="00BE5BF8"/>
    <w:rsid w:val="00BF0CD6"/>
    <w:rsid w:val="00BF16B5"/>
    <w:rsid w:val="00BF35E5"/>
    <w:rsid w:val="00BF3FB2"/>
    <w:rsid w:val="00BF70C9"/>
    <w:rsid w:val="00BF7489"/>
    <w:rsid w:val="00BF79E8"/>
    <w:rsid w:val="00C02FAC"/>
    <w:rsid w:val="00C05F30"/>
    <w:rsid w:val="00C06A47"/>
    <w:rsid w:val="00C16113"/>
    <w:rsid w:val="00C25F62"/>
    <w:rsid w:val="00C305FC"/>
    <w:rsid w:val="00C31E0D"/>
    <w:rsid w:val="00C326CB"/>
    <w:rsid w:val="00C34B1F"/>
    <w:rsid w:val="00C367EA"/>
    <w:rsid w:val="00C54461"/>
    <w:rsid w:val="00C55553"/>
    <w:rsid w:val="00C61ED1"/>
    <w:rsid w:val="00C6308A"/>
    <w:rsid w:val="00C65265"/>
    <w:rsid w:val="00C6634A"/>
    <w:rsid w:val="00C669A8"/>
    <w:rsid w:val="00C70572"/>
    <w:rsid w:val="00C70806"/>
    <w:rsid w:val="00C712C7"/>
    <w:rsid w:val="00C771A6"/>
    <w:rsid w:val="00C80EB8"/>
    <w:rsid w:val="00C91450"/>
    <w:rsid w:val="00C94682"/>
    <w:rsid w:val="00CA6D0B"/>
    <w:rsid w:val="00CB3591"/>
    <w:rsid w:val="00CB64E6"/>
    <w:rsid w:val="00CB7234"/>
    <w:rsid w:val="00CB7A1D"/>
    <w:rsid w:val="00CC13E9"/>
    <w:rsid w:val="00CC25F6"/>
    <w:rsid w:val="00CD4EE7"/>
    <w:rsid w:val="00CE0722"/>
    <w:rsid w:val="00CE24A2"/>
    <w:rsid w:val="00CE26CD"/>
    <w:rsid w:val="00CF0967"/>
    <w:rsid w:val="00CF1F87"/>
    <w:rsid w:val="00D00E5E"/>
    <w:rsid w:val="00D10A4D"/>
    <w:rsid w:val="00D21531"/>
    <w:rsid w:val="00D22327"/>
    <w:rsid w:val="00D26555"/>
    <w:rsid w:val="00D26CE8"/>
    <w:rsid w:val="00D278F9"/>
    <w:rsid w:val="00D27FF5"/>
    <w:rsid w:val="00D329EB"/>
    <w:rsid w:val="00D33CC8"/>
    <w:rsid w:val="00D40CEE"/>
    <w:rsid w:val="00D4362B"/>
    <w:rsid w:val="00D43D32"/>
    <w:rsid w:val="00D46A67"/>
    <w:rsid w:val="00D47E26"/>
    <w:rsid w:val="00D5408E"/>
    <w:rsid w:val="00D6478F"/>
    <w:rsid w:val="00D65BD1"/>
    <w:rsid w:val="00D67C8F"/>
    <w:rsid w:val="00D720CB"/>
    <w:rsid w:val="00D7387C"/>
    <w:rsid w:val="00D765ED"/>
    <w:rsid w:val="00D80A06"/>
    <w:rsid w:val="00D8179B"/>
    <w:rsid w:val="00D81FA7"/>
    <w:rsid w:val="00D85EEB"/>
    <w:rsid w:val="00D8620E"/>
    <w:rsid w:val="00D95855"/>
    <w:rsid w:val="00DB1933"/>
    <w:rsid w:val="00DB2A67"/>
    <w:rsid w:val="00DB343C"/>
    <w:rsid w:val="00DB723C"/>
    <w:rsid w:val="00DC5328"/>
    <w:rsid w:val="00DC536C"/>
    <w:rsid w:val="00DC746E"/>
    <w:rsid w:val="00DD1AD7"/>
    <w:rsid w:val="00DD657F"/>
    <w:rsid w:val="00DE28CC"/>
    <w:rsid w:val="00DE290E"/>
    <w:rsid w:val="00DE2EE4"/>
    <w:rsid w:val="00DE371A"/>
    <w:rsid w:val="00DE43F2"/>
    <w:rsid w:val="00DE55A7"/>
    <w:rsid w:val="00DF0EE9"/>
    <w:rsid w:val="00DF5E39"/>
    <w:rsid w:val="00E02A49"/>
    <w:rsid w:val="00E06D1A"/>
    <w:rsid w:val="00E07E0B"/>
    <w:rsid w:val="00E1064B"/>
    <w:rsid w:val="00E146CB"/>
    <w:rsid w:val="00E14D87"/>
    <w:rsid w:val="00E16275"/>
    <w:rsid w:val="00E16F1A"/>
    <w:rsid w:val="00E20C75"/>
    <w:rsid w:val="00E22120"/>
    <w:rsid w:val="00E23375"/>
    <w:rsid w:val="00E241F2"/>
    <w:rsid w:val="00E277DE"/>
    <w:rsid w:val="00E27843"/>
    <w:rsid w:val="00E27D80"/>
    <w:rsid w:val="00E30016"/>
    <w:rsid w:val="00E34099"/>
    <w:rsid w:val="00E356E5"/>
    <w:rsid w:val="00E36DBC"/>
    <w:rsid w:val="00E37E13"/>
    <w:rsid w:val="00E428C3"/>
    <w:rsid w:val="00E43B43"/>
    <w:rsid w:val="00E47FDE"/>
    <w:rsid w:val="00E502E8"/>
    <w:rsid w:val="00E5398F"/>
    <w:rsid w:val="00E64682"/>
    <w:rsid w:val="00E70D1C"/>
    <w:rsid w:val="00E71261"/>
    <w:rsid w:val="00E72233"/>
    <w:rsid w:val="00E76208"/>
    <w:rsid w:val="00E77AE5"/>
    <w:rsid w:val="00E823F8"/>
    <w:rsid w:val="00E84765"/>
    <w:rsid w:val="00E84FD4"/>
    <w:rsid w:val="00E861F1"/>
    <w:rsid w:val="00E90873"/>
    <w:rsid w:val="00E91BBF"/>
    <w:rsid w:val="00E9261C"/>
    <w:rsid w:val="00E965EF"/>
    <w:rsid w:val="00EA0514"/>
    <w:rsid w:val="00EA06BB"/>
    <w:rsid w:val="00EA6B2F"/>
    <w:rsid w:val="00EA7DB4"/>
    <w:rsid w:val="00EB137B"/>
    <w:rsid w:val="00EB390C"/>
    <w:rsid w:val="00EB5472"/>
    <w:rsid w:val="00EC5330"/>
    <w:rsid w:val="00EC58C0"/>
    <w:rsid w:val="00EC7814"/>
    <w:rsid w:val="00ED59E8"/>
    <w:rsid w:val="00ED77B7"/>
    <w:rsid w:val="00EE0584"/>
    <w:rsid w:val="00EE7F61"/>
    <w:rsid w:val="00EF066B"/>
    <w:rsid w:val="00EF31AC"/>
    <w:rsid w:val="00EF5B10"/>
    <w:rsid w:val="00F02CC4"/>
    <w:rsid w:val="00F07BA2"/>
    <w:rsid w:val="00F1541A"/>
    <w:rsid w:val="00F16748"/>
    <w:rsid w:val="00F16B1D"/>
    <w:rsid w:val="00F23791"/>
    <w:rsid w:val="00F26F43"/>
    <w:rsid w:val="00F34B87"/>
    <w:rsid w:val="00F374F0"/>
    <w:rsid w:val="00F40BCD"/>
    <w:rsid w:val="00F4517D"/>
    <w:rsid w:val="00F45BAF"/>
    <w:rsid w:val="00F470A7"/>
    <w:rsid w:val="00F47F0C"/>
    <w:rsid w:val="00F530F0"/>
    <w:rsid w:val="00F55351"/>
    <w:rsid w:val="00F61363"/>
    <w:rsid w:val="00F67AC3"/>
    <w:rsid w:val="00F70FEE"/>
    <w:rsid w:val="00F712FF"/>
    <w:rsid w:val="00F7485B"/>
    <w:rsid w:val="00F74F0F"/>
    <w:rsid w:val="00F8005E"/>
    <w:rsid w:val="00F86137"/>
    <w:rsid w:val="00F8698C"/>
    <w:rsid w:val="00F945D6"/>
    <w:rsid w:val="00FA627B"/>
    <w:rsid w:val="00FB06DC"/>
    <w:rsid w:val="00FB4E71"/>
    <w:rsid w:val="00FC6DF3"/>
    <w:rsid w:val="00FE2B18"/>
    <w:rsid w:val="00FE3765"/>
    <w:rsid w:val="00FE6A64"/>
    <w:rsid w:val="00FF139C"/>
    <w:rsid w:val="00FF61D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9A4B"/>
  <w15:chartTrackingRefBased/>
  <w15:docId w15:val="{85DF4EF4-B7F3-4A9F-B7B2-9BACCA90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9A8"/>
    <w:pPr>
      <w:spacing w:before="120" w:after="240" w:line="240" w:lineRule="auto"/>
    </w:pPr>
    <w:rPr>
      <w:rFonts w:ascii="DM Sans" w:hAnsi="DM Sans"/>
      <w:sz w:val="20"/>
    </w:rPr>
  </w:style>
  <w:style w:type="paragraph" w:styleId="Heading1">
    <w:name w:val="heading 1"/>
    <w:basedOn w:val="Normal"/>
    <w:next w:val="ListParagraph"/>
    <w:link w:val="Heading1Char"/>
    <w:uiPriority w:val="9"/>
    <w:qFormat/>
    <w:rsid w:val="00C669A8"/>
    <w:pPr>
      <w:outlineLvl w:val="0"/>
    </w:pPr>
    <w:rPr>
      <w:b/>
      <w:bCs/>
      <w:sz w:val="36"/>
      <w:szCs w:val="36"/>
    </w:rPr>
  </w:style>
  <w:style w:type="paragraph" w:styleId="Heading2">
    <w:name w:val="heading 2"/>
    <w:next w:val="ListParagraph"/>
    <w:link w:val="Heading2Char"/>
    <w:uiPriority w:val="9"/>
    <w:unhideWhenUsed/>
    <w:qFormat/>
    <w:rsid w:val="00C669A8"/>
    <w:pPr>
      <w:ind w:left="1134"/>
      <w:outlineLvl w:val="1"/>
    </w:pPr>
    <w:rPr>
      <w:rFonts w:ascii="DM Sans" w:hAnsi="DM Sans"/>
      <w:b/>
      <w:bCs/>
      <w:sz w:val="32"/>
      <w:szCs w:val="32"/>
    </w:rPr>
  </w:style>
  <w:style w:type="paragraph" w:styleId="Heading3">
    <w:name w:val="heading 3"/>
    <w:basedOn w:val="Normal"/>
    <w:next w:val="ListParagraph"/>
    <w:link w:val="Heading3Char"/>
    <w:uiPriority w:val="9"/>
    <w:unhideWhenUsed/>
    <w:qFormat/>
    <w:rsid w:val="00C669A8"/>
    <w:pPr>
      <w:ind w:left="1134"/>
      <w:outlineLvl w:val="2"/>
    </w:pPr>
    <w:rPr>
      <w:b/>
      <w:bCs/>
      <w:sz w:val="28"/>
      <w:szCs w:val="24"/>
    </w:rPr>
  </w:style>
  <w:style w:type="paragraph" w:styleId="Heading4">
    <w:name w:val="heading 4"/>
    <w:basedOn w:val="Normal"/>
    <w:next w:val="ListParagraph"/>
    <w:link w:val="Heading4Char"/>
    <w:uiPriority w:val="9"/>
    <w:unhideWhenUsed/>
    <w:qFormat/>
    <w:rsid w:val="00C669A8"/>
    <w:pPr>
      <w:ind w:left="1134"/>
      <w:outlineLvl w:val="3"/>
    </w:pPr>
    <w:rPr>
      <w:b/>
      <w:bCs/>
      <w:szCs w:val="20"/>
    </w:rPr>
  </w:style>
  <w:style w:type="paragraph" w:styleId="Heading5">
    <w:name w:val="heading 5"/>
    <w:basedOn w:val="Normal"/>
    <w:next w:val="ListParagraph"/>
    <w:link w:val="Heading5Char"/>
    <w:uiPriority w:val="9"/>
    <w:unhideWhenUsed/>
    <w:qFormat/>
    <w:rsid w:val="00C669A8"/>
    <w:pPr>
      <w:ind w:left="1276" w:hanging="142"/>
      <w:outlineLvl w:val="4"/>
    </w:pPr>
    <w:rPr>
      <w:b/>
      <w:bCs/>
    </w:rPr>
  </w:style>
  <w:style w:type="paragraph" w:styleId="Heading6">
    <w:name w:val="heading 6"/>
    <w:basedOn w:val="Normal"/>
    <w:next w:val="Normal"/>
    <w:link w:val="Heading6Char"/>
    <w:uiPriority w:val="9"/>
    <w:semiHidden/>
    <w:unhideWhenUsed/>
    <w:rsid w:val="00C669A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9A8"/>
    <w:rPr>
      <w:rFonts w:ascii="DM Sans" w:hAnsi="DM Sans"/>
      <w:b/>
      <w:bCs/>
      <w:sz w:val="36"/>
      <w:szCs w:val="36"/>
    </w:rPr>
  </w:style>
  <w:style w:type="character" w:customStyle="1" w:styleId="Heading2Char">
    <w:name w:val="Heading 2 Char"/>
    <w:basedOn w:val="DefaultParagraphFont"/>
    <w:link w:val="Heading2"/>
    <w:uiPriority w:val="9"/>
    <w:rsid w:val="00C669A8"/>
    <w:rPr>
      <w:rFonts w:ascii="DM Sans" w:hAnsi="DM Sans"/>
      <w:b/>
      <w:bCs/>
      <w:sz w:val="32"/>
      <w:szCs w:val="32"/>
    </w:rPr>
  </w:style>
  <w:style w:type="character" w:styleId="SubtleEmphasis">
    <w:name w:val="Subtle Emphasis"/>
    <w:aliases w:val="Italics"/>
    <w:basedOn w:val="DefaultParagraphFont"/>
    <w:uiPriority w:val="19"/>
    <w:qFormat/>
    <w:rsid w:val="00C669A8"/>
    <w:rPr>
      <w:rFonts w:ascii="DM Sans" w:hAnsi="DM Sans"/>
      <w:i/>
      <w:iCs/>
      <w:color w:val="404040" w:themeColor="text1" w:themeTint="BF"/>
      <w:sz w:val="20"/>
    </w:rPr>
  </w:style>
  <w:style w:type="character" w:styleId="Strong">
    <w:name w:val="Strong"/>
    <w:aliases w:val="Bold"/>
    <w:uiPriority w:val="22"/>
    <w:qFormat/>
    <w:rsid w:val="00C669A8"/>
    <w:rPr>
      <w:rFonts w:ascii="DM Sans" w:hAnsi="DM Sans"/>
      <w:b/>
      <w:bCs/>
      <w:sz w:val="20"/>
    </w:rPr>
  </w:style>
  <w:style w:type="numbering" w:customStyle="1" w:styleId="Bulletpointstyle">
    <w:name w:val="Bullet point style"/>
    <w:uiPriority w:val="99"/>
    <w:rsid w:val="00C669A8"/>
  </w:style>
  <w:style w:type="paragraph" w:styleId="TOC1">
    <w:name w:val="toc 1"/>
    <w:basedOn w:val="Normal"/>
    <w:next w:val="Normal"/>
    <w:autoRedefine/>
    <w:uiPriority w:val="39"/>
    <w:unhideWhenUsed/>
    <w:rsid w:val="00C669A8"/>
    <w:pPr>
      <w:tabs>
        <w:tab w:val="left" w:pos="400"/>
        <w:tab w:val="right" w:leader="dot" w:pos="10194"/>
      </w:tabs>
      <w:snapToGrid w:val="0"/>
      <w:spacing w:before="240" w:after="120"/>
    </w:pPr>
  </w:style>
  <w:style w:type="paragraph" w:styleId="Header">
    <w:name w:val="header"/>
    <w:basedOn w:val="Normal"/>
    <w:link w:val="HeaderChar"/>
    <w:uiPriority w:val="99"/>
    <w:unhideWhenUsed/>
    <w:rsid w:val="00C669A8"/>
    <w:pPr>
      <w:tabs>
        <w:tab w:val="center" w:pos="4513"/>
        <w:tab w:val="right" w:pos="9026"/>
      </w:tabs>
      <w:spacing w:after="0"/>
    </w:pPr>
  </w:style>
  <w:style w:type="character" w:customStyle="1" w:styleId="HeaderChar">
    <w:name w:val="Header Char"/>
    <w:basedOn w:val="DefaultParagraphFont"/>
    <w:link w:val="Header"/>
    <w:uiPriority w:val="99"/>
    <w:rsid w:val="00C669A8"/>
    <w:rPr>
      <w:rFonts w:ascii="DM Sans" w:hAnsi="DM Sans"/>
      <w:sz w:val="20"/>
    </w:rPr>
  </w:style>
  <w:style w:type="paragraph" w:styleId="Footer">
    <w:name w:val="footer"/>
    <w:basedOn w:val="Normal"/>
    <w:link w:val="FooterChar"/>
    <w:uiPriority w:val="99"/>
    <w:unhideWhenUsed/>
    <w:rsid w:val="00C669A8"/>
    <w:pPr>
      <w:tabs>
        <w:tab w:val="center" w:pos="4513"/>
        <w:tab w:val="right" w:pos="9026"/>
      </w:tabs>
      <w:spacing w:after="0"/>
    </w:pPr>
  </w:style>
  <w:style w:type="character" w:customStyle="1" w:styleId="FooterChar">
    <w:name w:val="Footer Char"/>
    <w:basedOn w:val="DefaultParagraphFont"/>
    <w:link w:val="Footer"/>
    <w:uiPriority w:val="99"/>
    <w:rsid w:val="00C669A8"/>
    <w:rPr>
      <w:rFonts w:ascii="DM Sans" w:hAnsi="DM Sans"/>
      <w:sz w:val="20"/>
    </w:rPr>
  </w:style>
  <w:style w:type="paragraph" w:styleId="Title">
    <w:name w:val="Title"/>
    <w:basedOn w:val="Normal"/>
    <w:next w:val="Normal"/>
    <w:link w:val="TitleChar"/>
    <w:uiPriority w:val="10"/>
    <w:qFormat/>
    <w:rsid w:val="00C669A8"/>
    <w:rPr>
      <w:b/>
      <w:bCs/>
      <w:color w:val="FFFFFF" w:themeColor="background1"/>
      <w:sz w:val="40"/>
      <w:szCs w:val="40"/>
    </w:rPr>
  </w:style>
  <w:style w:type="character" w:customStyle="1" w:styleId="TitleChar">
    <w:name w:val="Title Char"/>
    <w:basedOn w:val="DefaultParagraphFont"/>
    <w:link w:val="Title"/>
    <w:uiPriority w:val="10"/>
    <w:rsid w:val="00C669A8"/>
    <w:rPr>
      <w:rFonts w:ascii="DM Sans" w:hAnsi="DM Sans"/>
      <w:b/>
      <w:bCs/>
      <w:color w:val="FFFFFF" w:themeColor="background1"/>
      <w:sz w:val="40"/>
      <w:szCs w:val="40"/>
    </w:rPr>
  </w:style>
  <w:style w:type="paragraph" w:styleId="Subtitle">
    <w:name w:val="Subtitle"/>
    <w:basedOn w:val="Normal"/>
    <w:next w:val="Normal"/>
    <w:link w:val="SubtitleChar"/>
    <w:uiPriority w:val="11"/>
    <w:qFormat/>
    <w:rsid w:val="00C669A8"/>
    <w:rPr>
      <w:b/>
      <w:bCs/>
      <w:color w:val="FFFFFF" w:themeColor="background1"/>
      <w:sz w:val="32"/>
      <w:szCs w:val="32"/>
    </w:rPr>
  </w:style>
  <w:style w:type="character" w:customStyle="1" w:styleId="SubtitleChar">
    <w:name w:val="Subtitle Char"/>
    <w:basedOn w:val="DefaultParagraphFont"/>
    <w:link w:val="Subtitle"/>
    <w:uiPriority w:val="11"/>
    <w:rsid w:val="00C669A8"/>
    <w:rPr>
      <w:rFonts w:ascii="DM Sans" w:hAnsi="DM Sans"/>
      <w:b/>
      <w:bCs/>
      <w:color w:val="FFFFFF" w:themeColor="background1"/>
      <w:sz w:val="32"/>
      <w:szCs w:val="32"/>
    </w:rPr>
  </w:style>
  <w:style w:type="paragraph" w:styleId="TOCHeading">
    <w:name w:val="TOC Heading"/>
    <w:basedOn w:val="Heading1"/>
    <w:next w:val="Normal"/>
    <w:uiPriority w:val="39"/>
    <w:unhideWhenUsed/>
    <w:rsid w:val="00C669A8"/>
    <w:pPr>
      <w:spacing w:after="120"/>
      <w:outlineLvl w:val="9"/>
    </w:pPr>
    <w:rPr>
      <w:sz w:val="40"/>
      <w:lang w:val="en-US" w:eastAsia="en-US"/>
    </w:rPr>
  </w:style>
  <w:style w:type="character" w:customStyle="1" w:styleId="Heading3Char">
    <w:name w:val="Heading 3 Char"/>
    <w:basedOn w:val="DefaultParagraphFont"/>
    <w:link w:val="Heading3"/>
    <w:uiPriority w:val="9"/>
    <w:rsid w:val="00C669A8"/>
    <w:rPr>
      <w:rFonts w:ascii="DM Sans" w:hAnsi="DM Sans"/>
      <w:b/>
      <w:bCs/>
      <w:sz w:val="28"/>
      <w:szCs w:val="24"/>
    </w:rPr>
  </w:style>
  <w:style w:type="character" w:customStyle="1" w:styleId="Heading4Char">
    <w:name w:val="Heading 4 Char"/>
    <w:basedOn w:val="DefaultParagraphFont"/>
    <w:link w:val="Heading4"/>
    <w:uiPriority w:val="9"/>
    <w:rsid w:val="00C669A8"/>
    <w:rPr>
      <w:rFonts w:ascii="DM Sans" w:hAnsi="DM Sans"/>
      <w:b/>
      <w:bCs/>
      <w:sz w:val="20"/>
      <w:szCs w:val="20"/>
    </w:rPr>
  </w:style>
  <w:style w:type="character" w:customStyle="1" w:styleId="Heading5Char">
    <w:name w:val="Heading 5 Char"/>
    <w:basedOn w:val="DefaultParagraphFont"/>
    <w:link w:val="Heading5"/>
    <w:uiPriority w:val="9"/>
    <w:rsid w:val="00C669A8"/>
    <w:rPr>
      <w:rFonts w:ascii="DM Sans" w:hAnsi="DM Sans"/>
      <w:b/>
      <w:bCs/>
      <w:sz w:val="20"/>
    </w:rPr>
  </w:style>
  <w:style w:type="paragraph" w:styleId="TOC2">
    <w:name w:val="toc 2"/>
    <w:basedOn w:val="Normal"/>
    <w:next w:val="Normal"/>
    <w:autoRedefine/>
    <w:uiPriority w:val="39"/>
    <w:unhideWhenUsed/>
    <w:rsid w:val="00C669A8"/>
    <w:pPr>
      <w:spacing w:before="0" w:after="0"/>
      <w:ind w:left="567"/>
      <w:contextualSpacing/>
    </w:pPr>
  </w:style>
  <w:style w:type="paragraph" w:styleId="TOC3">
    <w:name w:val="toc 3"/>
    <w:basedOn w:val="Normal"/>
    <w:next w:val="Normal"/>
    <w:autoRedefine/>
    <w:uiPriority w:val="39"/>
    <w:unhideWhenUsed/>
    <w:rsid w:val="00C669A8"/>
    <w:pPr>
      <w:spacing w:before="0" w:after="0"/>
      <w:ind w:left="851"/>
      <w:contextualSpacing/>
    </w:pPr>
  </w:style>
  <w:style w:type="character" w:styleId="Hyperlink">
    <w:name w:val="Hyperlink"/>
    <w:basedOn w:val="DefaultParagraphFont"/>
    <w:uiPriority w:val="99"/>
    <w:unhideWhenUsed/>
    <w:rsid w:val="00C669A8"/>
    <w:rPr>
      <w:rFonts w:ascii="DM Sans" w:hAnsi="DM Sans"/>
      <w:color w:val="AE1644"/>
      <w:u w:val="single"/>
    </w:rPr>
  </w:style>
  <w:style w:type="paragraph" w:styleId="ListParagraph">
    <w:name w:val="List Paragraph"/>
    <w:basedOn w:val="Normal"/>
    <w:link w:val="ListParagraphChar"/>
    <w:uiPriority w:val="34"/>
    <w:qFormat/>
    <w:rsid w:val="00C669A8"/>
    <w:pPr>
      <w:numPr>
        <w:ilvl w:val="1"/>
        <w:numId w:val="2"/>
      </w:numPr>
    </w:pPr>
  </w:style>
  <w:style w:type="table" w:styleId="TableGrid">
    <w:name w:val="Table Grid"/>
    <w:basedOn w:val="TableNormal"/>
    <w:uiPriority w:val="39"/>
    <w:rsid w:val="00C6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69A8"/>
    <w:pPr>
      <w:spacing w:after="0" w:line="240" w:lineRule="auto"/>
    </w:pPr>
    <w:rPr>
      <w:rFonts w:ascii="DM Sans" w:hAnsi="DM Sans"/>
      <w:sz w:val="20"/>
    </w:rPr>
  </w:style>
  <w:style w:type="character" w:customStyle="1" w:styleId="NoSpacingChar">
    <w:name w:val="No Spacing Char"/>
    <w:basedOn w:val="DefaultParagraphFont"/>
    <w:link w:val="NoSpacing"/>
    <w:uiPriority w:val="1"/>
    <w:rsid w:val="00C669A8"/>
    <w:rPr>
      <w:rFonts w:ascii="DM Sans" w:hAnsi="DM Sans"/>
      <w:sz w:val="20"/>
    </w:rPr>
  </w:style>
  <w:style w:type="paragraph" w:customStyle="1" w:styleId="Bulletpoints">
    <w:name w:val="Bullet points"/>
    <w:basedOn w:val="ListParagraph"/>
    <w:link w:val="BulletpointsChar"/>
    <w:qFormat/>
    <w:rsid w:val="00C669A8"/>
    <w:pPr>
      <w:numPr>
        <w:ilvl w:val="0"/>
        <w:numId w:val="1"/>
      </w:numPr>
    </w:pPr>
  </w:style>
  <w:style w:type="paragraph" w:styleId="Caption">
    <w:name w:val="caption"/>
    <w:aliases w:val="NEW - Caption Table Gavia,Caption Table Gavia"/>
    <w:basedOn w:val="Normal"/>
    <w:next w:val="Normal"/>
    <w:uiPriority w:val="35"/>
    <w:unhideWhenUsed/>
    <w:qFormat/>
    <w:rsid w:val="00C669A8"/>
    <w:pPr>
      <w:spacing w:after="200"/>
    </w:pPr>
    <w:rPr>
      <w:i/>
      <w:iCs/>
      <w:color w:val="2F3245"/>
      <w:szCs w:val="18"/>
    </w:rPr>
  </w:style>
  <w:style w:type="character" w:customStyle="1" w:styleId="ListParagraphChar">
    <w:name w:val="List Paragraph Char"/>
    <w:basedOn w:val="DefaultParagraphFont"/>
    <w:link w:val="ListParagraph"/>
    <w:uiPriority w:val="34"/>
    <w:rsid w:val="00C669A8"/>
    <w:rPr>
      <w:rFonts w:ascii="DM Sans" w:hAnsi="DM Sans"/>
      <w:sz w:val="20"/>
    </w:rPr>
  </w:style>
  <w:style w:type="character" w:customStyle="1" w:styleId="BulletpointsChar">
    <w:name w:val="Bullet points Char"/>
    <w:basedOn w:val="ListParagraphChar"/>
    <w:link w:val="Bulletpoints"/>
    <w:rsid w:val="00C669A8"/>
    <w:rPr>
      <w:rFonts w:ascii="DM Sans" w:hAnsi="DM Sans"/>
      <w:sz w:val="20"/>
    </w:rPr>
  </w:style>
  <w:style w:type="paragraph" w:styleId="TOC4">
    <w:name w:val="toc 4"/>
    <w:basedOn w:val="Normal"/>
    <w:next w:val="Normal"/>
    <w:autoRedefine/>
    <w:uiPriority w:val="39"/>
    <w:unhideWhenUsed/>
    <w:rsid w:val="00C669A8"/>
    <w:pPr>
      <w:spacing w:before="0"/>
      <w:ind w:left="1134"/>
      <w:contextualSpacing/>
    </w:pPr>
  </w:style>
  <w:style w:type="table" w:customStyle="1" w:styleId="PegasusGrouptablestyle">
    <w:name w:val="Pegasus Group table style"/>
    <w:basedOn w:val="PlainTable1"/>
    <w:uiPriority w:val="99"/>
    <w:rsid w:val="00C669A8"/>
    <w:rPr>
      <w:rFonts w:ascii="DM Sans" w:hAnsi="DM Sans"/>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1644"/>
      </w:tcPr>
    </w:tblStylePr>
    <w:tblStylePr w:type="lastRow">
      <w:rPr>
        <w:rFonts w:ascii="DM Sans" w:hAnsi="DM Sans"/>
        <w:b/>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DM Sans" w:hAnsi="DM Sans"/>
        <w:b w:val="0"/>
        <w:bCs/>
        <w:sz w:val="24"/>
      </w:rPr>
    </w:tblStylePr>
    <w:tblStylePr w:type="lastCol">
      <w:rPr>
        <w:rFonts w:ascii="DM Sans" w:hAnsi="DM Sans"/>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DM Sans" w:hAnsi="DM Sans"/>
        <w:sz w:val="24"/>
      </w:rPr>
    </w:tblStylePr>
    <w:tblStylePr w:type="s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Quote">
    <w:name w:val="Quote"/>
    <w:basedOn w:val="Normal"/>
    <w:next w:val="ListParagraph"/>
    <w:link w:val="QuoteChar"/>
    <w:uiPriority w:val="29"/>
    <w:qFormat/>
    <w:rsid w:val="00C669A8"/>
    <w:pPr>
      <w:ind w:left="993"/>
    </w:pPr>
    <w:rPr>
      <w:b/>
      <w:i/>
      <w:iCs/>
    </w:rPr>
  </w:style>
  <w:style w:type="character" w:customStyle="1" w:styleId="QuoteChar">
    <w:name w:val="Quote Char"/>
    <w:basedOn w:val="DefaultParagraphFont"/>
    <w:link w:val="Quote"/>
    <w:uiPriority w:val="29"/>
    <w:rsid w:val="00C669A8"/>
    <w:rPr>
      <w:rFonts w:ascii="DM Sans" w:hAnsi="DM Sans"/>
      <w:b/>
      <w:i/>
      <w:iCs/>
      <w:sz w:val="20"/>
    </w:rPr>
  </w:style>
  <w:style w:type="paragraph" w:customStyle="1" w:styleId="Appendixheading">
    <w:name w:val="Appendix heading"/>
    <w:basedOn w:val="Heading1"/>
    <w:next w:val="Normal"/>
    <w:link w:val="AppendixheadingChar"/>
    <w:qFormat/>
    <w:rsid w:val="00C669A8"/>
  </w:style>
  <w:style w:type="paragraph" w:customStyle="1" w:styleId="Appendixheading2">
    <w:name w:val="Appendix heading 2"/>
    <w:basedOn w:val="Heading2"/>
    <w:next w:val="Normal"/>
    <w:link w:val="Appendixheading2Char"/>
    <w:autoRedefine/>
    <w:qFormat/>
    <w:rsid w:val="00C669A8"/>
  </w:style>
  <w:style w:type="character" w:customStyle="1" w:styleId="AppendixheadingChar">
    <w:name w:val="Appendix heading Char"/>
    <w:basedOn w:val="Heading1Char"/>
    <w:link w:val="Appendixheading"/>
    <w:rsid w:val="00C669A8"/>
    <w:rPr>
      <w:rFonts w:ascii="DM Sans" w:hAnsi="DM Sans"/>
      <w:b/>
      <w:bCs/>
      <w:sz w:val="36"/>
      <w:szCs w:val="36"/>
    </w:rPr>
  </w:style>
  <w:style w:type="paragraph" w:customStyle="1" w:styleId="Appendixheading3">
    <w:name w:val="Appendix heading 3"/>
    <w:basedOn w:val="Heading3"/>
    <w:next w:val="Normal"/>
    <w:link w:val="Appendixheading3Char"/>
    <w:qFormat/>
    <w:rsid w:val="00C669A8"/>
  </w:style>
  <w:style w:type="character" w:customStyle="1" w:styleId="Appendixheading2Char">
    <w:name w:val="Appendix heading 2 Char"/>
    <w:basedOn w:val="Heading2Char"/>
    <w:link w:val="Appendixheading2"/>
    <w:rsid w:val="00C669A8"/>
    <w:rPr>
      <w:rFonts w:ascii="DM Sans" w:hAnsi="DM Sans"/>
      <w:b/>
      <w:bCs/>
      <w:sz w:val="32"/>
      <w:szCs w:val="32"/>
    </w:rPr>
  </w:style>
  <w:style w:type="paragraph" w:customStyle="1" w:styleId="Appendixheading4">
    <w:name w:val="Appendix heading 4"/>
    <w:basedOn w:val="Heading4"/>
    <w:next w:val="Normal"/>
    <w:link w:val="Appendixheading4Char"/>
    <w:qFormat/>
    <w:rsid w:val="00C669A8"/>
  </w:style>
  <w:style w:type="character" w:customStyle="1" w:styleId="Appendixheading3Char">
    <w:name w:val="Appendix heading 3 Char"/>
    <w:basedOn w:val="Heading3Char"/>
    <w:link w:val="Appendixheading3"/>
    <w:rsid w:val="00C669A8"/>
    <w:rPr>
      <w:rFonts w:ascii="DM Sans" w:hAnsi="DM Sans"/>
      <w:b/>
      <w:bCs/>
      <w:sz w:val="28"/>
      <w:szCs w:val="24"/>
    </w:rPr>
  </w:style>
  <w:style w:type="paragraph" w:customStyle="1" w:styleId="Appendixheading5">
    <w:name w:val="Appendix heading 5"/>
    <w:basedOn w:val="Heading5"/>
    <w:next w:val="Normal"/>
    <w:link w:val="Appendixheading5Char"/>
    <w:qFormat/>
    <w:rsid w:val="00C669A8"/>
  </w:style>
  <w:style w:type="character" w:customStyle="1" w:styleId="Appendixheading4Char">
    <w:name w:val="Appendix heading 4 Char"/>
    <w:basedOn w:val="Heading4Char"/>
    <w:link w:val="Appendixheading4"/>
    <w:rsid w:val="00C669A8"/>
    <w:rPr>
      <w:rFonts w:ascii="DM Sans" w:hAnsi="DM Sans"/>
      <w:b/>
      <w:bCs/>
      <w:sz w:val="20"/>
      <w:szCs w:val="20"/>
    </w:rPr>
  </w:style>
  <w:style w:type="paragraph" w:styleId="EndnoteText">
    <w:name w:val="endnote text"/>
    <w:basedOn w:val="Normal"/>
    <w:link w:val="EndnoteTextChar"/>
    <w:uiPriority w:val="99"/>
    <w:semiHidden/>
    <w:unhideWhenUsed/>
    <w:rsid w:val="00C669A8"/>
    <w:pPr>
      <w:spacing w:before="0" w:after="0"/>
    </w:pPr>
    <w:rPr>
      <w:szCs w:val="20"/>
    </w:rPr>
  </w:style>
  <w:style w:type="character" w:customStyle="1" w:styleId="Appendixheading5Char">
    <w:name w:val="Appendix heading 5 Char"/>
    <w:basedOn w:val="Heading5Char"/>
    <w:link w:val="Appendixheading5"/>
    <w:rsid w:val="00C669A8"/>
    <w:rPr>
      <w:rFonts w:ascii="DM Sans" w:hAnsi="DM Sans"/>
      <w:b/>
      <w:bCs/>
      <w:sz w:val="20"/>
    </w:rPr>
  </w:style>
  <w:style w:type="character" w:customStyle="1" w:styleId="EndnoteTextChar">
    <w:name w:val="Endnote Text Char"/>
    <w:basedOn w:val="DefaultParagraphFont"/>
    <w:link w:val="EndnoteText"/>
    <w:uiPriority w:val="99"/>
    <w:semiHidden/>
    <w:rsid w:val="00C669A8"/>
    <w:rPr>
      <w:rFonts w:ascii="DM Sans" w:hAnsi="DM Sans"/>
      <w:sz w:val="20"/>
      <w:szCs w:val="20"/>
    </w:rPr>
  </w:style>
  <w:style w:type="character" w:styleId="EndnoteReference">
    <w:name w:val="endnote reference"/>
    <w:basedOn w:val="DefaultParagraphFont"/>
    <w:uiPriority w:val="99"/>
    <w:semiHidden/>
    <w:unhideWhenUsed/>
    <w:rsid w:val="00C669A8"/>
    <w:rPr>
      <w:vertAlign w:val="superscript"/>
    </w:rPr>
  </w:style>
  <w:style w:type="paragraph" w:customStyle="1" w:styleId="Numberedheading1">
    <w:name w:val="Numbered heading 1"/>
    <w:basedOn w:val="Heading1"/>
    <w:next w:val="ListParagraph"/>
    <w:qFormat/>
    <w:rsid w:val="00C669A8"/>
    <w:pPr>
      <w:numPr>
        <w:numId w:val="2"/>
      </w:numPr>
    </w:pPr>
  </w:style>
  <w:style w:type="table" w:styleId="PlainTable1">
    <w:name w:val="Plain Table 1"/>
    <w:basedOn w:val="TableNormal"/>
    <w:uiPriority w:val="41"/>
    <w:rsid w:val="00C669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managementheader">
    <w:name w:val="Document management header"/>
    <w:basedOn w:val="Heading1"/>
    <w:next w:val="Normal"/>
    <w:link w:val="DocumentmanagementheaderChar"/>
    <w:rsid w:val="00C669A8"/>
  </w:style>
  <w:style w:type="character" w:customStyle="1" w:styleId="DocumentmanagementheaderChar">
    <w:name w:val="Document management header Char"/>
    <w:basedOn w:val="Heading1Char"/>
    <w:link w:val="Documentmanagementheader"/>
    <w:rsid w:val="00C669A8"/>
    <w:rPr>
      <w:rFonts w:ascii="DM Sans" w:hAnsi="DM Sans"/>
      <w:b/>
      <w:bCs/>
      <w:sz w:val="36"/>
      <w:szCs w:val="36"/>
    </w:rPr>
  </w:style>
  <w:style w:type="table" w:customStyle="1" w:styleId="Tablenormalstyle">
    <w:name w:val="Table normal style"/>
    <w:basedOn w:val="TableNormal"/>
    <w:uiPriority w:val="99"/>
    <w:rsid w:val="009700E8"/>
    <w:pPr>
      <w:spacing w:after="0" w:line="240" w:lineRule="auto"/>
    </w:pPr>
    <w:rPr>
      <w:rFonts w:ascii="DM Sans" w:hAnsi="DM Sans"/>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color w:val="FFFFFF" w:themeColor="background1"/>
        <w:sz w:val="20"/>
      </w:rPr>
      <w:tblPr/>
      <w:tcPr>
        <w:shd w:val="clear" w:color="auto" w:fill="AE1644"/>
      </w:tcPr>
    </w:tblStylePr>
    <w:tblStylePr w:type="lastRow">
      <w:rPr>
        <w:rFonts w:ascii="DM Sans" w:hAnsi="DM Sans"/>
        <w:sz w:val="20"/>
      </w:rPr>
    </w:tblStylePr>
    <w:tblStylePr w:type="firstCol">
      <w:rPr>
        <w:rFonts w:ascii="DM Sans" w:hAnsi="DM Sans"/>
        <w:sz w:val="24"/>
      </w:rPr>
    </w:tblStylePr>
    <w:tblStylePr w:type="lastCol">
      <w:rPr>
        <w:rFonts w:ascii="DM Sans" w:hAnsi="DM Sans"/>
        <w:sz w:val="20"/>
      </w:rPr>
    </w:tblStylePr>
    <w:tblStylePr w:type="band1Vert">
      <w:rPr>
        <w:rFonts w:ascii="DM Sans" w:hAnsi="DM Sans"/>
        <w:sz w:val="20"/>
      </w:rPr>
    </w:tblStylePr>
    <w:tblStylePr w:type="band2Vert">
      <w:rPr>
        <w:rFonts w:ascii="DM Sans" w:hAnsi="DM Sans"/>
        <w:sz w:val="20"/>
      </w:rPr>
    </w:tblStylePr>
    <w:tblStylePr w:type="band1Horz">
      <w:rPr>
        <w:rFonts w:ascii="DM Sans" w:hAnsi="DM Sans"/>
        <w:sz w:val="20"/>
      </w:rPr>
    </w:tblStylePr>
    <w:tblStylePr w:type="band2Horz">
      <w:rPr>
        <w:rFonts w:ascii="DM Sans" w:hAnsi="DM Sans"/>
        <w:sz w:val="20"/>
      </w:rPr>
    </w:tblStylePr>
  </w:style>
  <w:style w:type="table" w:styleId="TableGridLight">
    <w:name w:val="Grid Table Light"/>
    <w:basedOn w:val="TableNormal"/>
    <w:uiPriority w:val="40"/>
    <w:rsid w:val="00BF7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C669A8"/>
    <w:rPr>
      <w:rFonts w:asciiTheme="majorHAnsi" w:eastAsiaTheme="majorEastAsia" w:hAnsiTheme="majorHAnsi" w:cstheme="majorBidi"/>
      <w:color w:val="1F3763" w:themeColor="accent1" w:themeShade="7F"/>
      <w:sz w:val="20"/>
    </w:rPr>
  </w:style>
  <w:style w:type="character" w:styleId="PlaceholderText">
    <w:name w:val="Placeholder Text"/>
    <w:basedOn w:val="DefaultParagraphFont"/>
    <w:uiPriority w:val="99"/>
    <w:semiHidden/>
    <w:rsid w:val="00C669A8"/>
    <w:rPr>
      <w:color w:val="808080"/>
    </w:rPr>
  </w:style>
  <w:style w:type="character" w:styleId="CommentReference">
    <w:name w:val="annotation reference"/>
    <w:basedOn w:val="DefaultParagraphFont"/>
    <w:uiPriority w:val="99"/>
    <w:semiHidden/>
    <w:unhideWhenUsed/>
    <w:rsid w:val="00DC5328"/>
    <w:rPr>
      <w:sz w:val="16"/>
      <w:szCs w:val="16"/>
    </w:rPr>
  </w:style>
  <w:style w:type="paragraph" w:styleId="CommentText">
    <w:name w:val="annotation text"/>
    <w:basedOn w:val="Normal"/>
    <w:link w:val="CommentTextChar"/>
    <w:uiPriority w:val="99"/>
    <w:unhideWhenUsed/>
    <w:rsid w:val="00DC5328"/>
    <w:rPr>
      <w:szCs w:val="20"/>
    </w:rPr>
  </w:style>
  <w:style w:type="character" w:customStyle="1" w:styleId="CommentTextChar">
    <w:name w:val="Comment Text Char"/>
    <w:basedOn w:val="DefaultParagraphFont"/>
    <w:link w:val="CommentText"/>
    <w:uiPriority w:val="99"/>
    <w:rsid w:val="00DC5328"/>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DC5328"/>
    <w:rPr>
      <w:b/>
      <w:bCs/>
    </w:rPr>
  </w:style>
  <w:style w:type="character" w:customStyle="1" w:styleId="CommentSubjectChar">
    <w:name w:val="Comment Subject Char"/>
    <w:basedOn w:val="CommentTextChar"/>
    <w:link w:val="CommentSubject"/>
    <w:uiPriority w:val="99"/>
    <w:semiHidden/>
    <w:rsid w:val="00DC5328"/>
    <w:rPr>
      <w:rFonts w:ascii="DM Sans" w:hAnsi="DM Sans"/>
      <w:b/>
      <w:bCs/>
      <w:sz w:val="20"/>
      <w:szCs w:val="20"/>
    </w:rPr>
  </w:style>
  <w:style w:type="table" w:customStyle="1" w:styleId="TableGrid1">
    <w:name w:val="Table Grid1"/>
    <w:basedOn w:val="TableNormal"/>
    <w:next w:val="TableGrid"/>
    <w:rsid w:val="00DE43F2"/>
    <w:pPr>
      <w:spacing w:after="0" w:line="240" w:lineRule="auto"/>
    </w:pPr>
    <w:rPr>
      <w:rFonts w:ascii="DM Sans" w:hAnsi="DM Sans"/>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color w:val="FFFFFF" w:themeColor="background1"/>
        <w:sz w:val="20"/>
      </w:rPr>
      <w:tblPr/>
      <w:tcPr>
        <w:shd w:val="clear" w:color="auto" w:fill="AE1644"/>
      </w:tcPr>
    </w:tblStylePr>
    <w:tblStylePr w:type="lastRow">
      <w:rPr>
        <w:rFonts w:ascii="DM Sans" w:hAnsi="DM Sans"/>
        <w:sz w:val="20"/>
      </w:rPr>
    </w:tblStylePr>
    <w:tblStylePr w:type="firstCol">
      <w:rPr>
        <w:rFonts w:ascii="DM Sans" w:hAnsi="DM Sans"/>
        <w:sz w:val="24"/>
      </w:rPr>
    </w:tblStylePr>
    <w:tblStylePr w:type="lastCol">
      <w:rPr>
        <w:rFonts w:ascii="DM Sans" w:hAnsi="DM Sans"/>
        <w:sz w:val="20"/>
      </w:rPr>
    </w:tblStylePr>
    <w:tblStylePr w:type="band1Vert">
      <w:rPr>
        <w:rFonts w:ascii="DM Sans" w:hAnsi="DM Sans"/>
        <w:sz w:val="20"/>
      </w:rPr>
    </w:tblStylePr>
    <w:tblStylePr w:type="band2Vert">
      <w:rPr>
        <w:rFonts w:ascii="DM Sans" w:hAnsi="DM Sans"/>
        <w:sz w:val="20"/>
      </w:rPr>
    </w:tblStylePr>
    <w:tblStylePr w:type="band1Horz">
      <w:rPr>
        <w:rFonts w:ascii="DM Sans" w:hAnsi="DM Sans"/>
        <w:sz w:val="20"/>
      </w:rPr>
    </w:tblStylePr>
    <w:tblStylePr w:type="band2Horz">
      <w:rPr>
        <w:rFonts w:ascii="DM Sans" w:hAnsi="DM Sans"/>
        <w:sz w:val="20"/>
      </w:rPr>
    </w:tblStylePr>
  </w:style>
  <w:style w:type="paragraph" w:customStyle="1" w:styleId="NEW-TextTableCenterBlack-Gavia">
    <w:name w:val="NEW - Text Table Center Black - Gavia"/>
    <w:basedOn w:val="Normal"/>
    <w:qFormat/>
    <w:rsid w:val="00DE43F2"/>
    <w:pPr>
      <w:spacing w:after="120"/>
      <w:jc w:val="center"/>
    </w:pPr>
    <w:rPr>
      <w:rFonts w:ascii="Tahoma" w:eastAsia="Calibri" w:hAnsi="Tahoma" w:cs="Times New Roman"/>
      <w:color w:val="000000" w:themeColor="text1"/>
      <w:lang w:eastAsia="en-US"/>
    </w:rPr>
  </w:style>
  <w:style w:type="paragraph" w:styleId="FootnoteText">
    <w:name w:val="footnote text"/>
    <w:basedOn w:val="Normal"/>
    <w:link w:val="FootnoteTextChar"/>
    <w:uiPriority w:val="99"/>
    <w:semiHidden/>
    <w:unhideWhenUsed/>
    <w:rsid w:val="0067272F"/>
    <w:pPr>
      <w:spacing w:before="0" w:after="0"/>
    </w:pPr>
    <w:rPr>
      <w:szCs w:val="20"/>
    </w:rPr>
  </w:style>
  <w:style w:type="character" w:customStyle="1" w:styleId="FootnoteTextChar">
    <w:name w:val="Footnote Text Char"/>
    <w:basedOn w:val="DefaultParagraphFont"/>
    <w:link w:val="FootnoteText"/>
    <w:uiPriority w:val="99"/>
    <w:semiHidden/>
    <w:rsid w:val="0067272F"/>
    <w:rPr>
      <w:rFonts w:ascii="DM Sans" w:hAnsi="DM Sans"/>
      <w:sz w:val="20"/>
      <w:szCs w:val="20"/>
    </w:rPr>
  </w:style>
  <w:style w:type="character" w:styleId="FootnoteReference">
    <w:name w:val="footnote reference"/>
    <w:basedOn w:val="DefaultParagraphFont"/>
    <w:uiPriority w:val="99"/>
    <w:semiHidden/>
    <w:unhideWhenUsed/>
    <w:rsid w:val="00672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82406">
      <w:bodyDiv w:val="1"/>
      <w:marLeft w:val="0"/>
      <w:marRight w:val="0"/>
      <w:marTop w:val="0"/>
      <w:marBottom w:val="0"/>
      <w:divBdr>
        <w:top w:val="none" w:sz="0" w:space="0" w:color="auto"/>
        <w:left w:val="none" w:sz="0" w:space="0" w:color="auto"/>
        <w:bottom w:val="none" w:sz="0" w:space="0" w:color="auto"/>
        <w:right w:val="none" w:sz="0" w:space="0" w:color="auto"/>
      </w:divBdr>
    </w:div>
    <w:div w:id="1504783890">
      <w:bodyDiv w:val="1"/>
      <w:marLeft w:val="0"/>
      <w:marRight w:val="0"/>
      <w:marTop w:val="0"/>
      <w:marBottom w:val="0"/>
      <w:divBdr>
        <w:top w:val="none" w:sz="0" w:space="0" w:color="auto"/>
        <w:left w:val="none" w:sz="0" w:space="0" w:color="auto"/>
        <w:bottom w:val="none" w:sz="0" w:space="0" w:color="auto"/>
        <w:right w:val="none" w:sz="0" w:space="0" w:color="auto"/>
      </w:divBdr>
    </w:div>
    <w:div w:id="1589732859">
      <w:bodyDiv w:val="1"/>
      <w:marLeft w:val="0"/>
      <w:marRight w:val="0"/>
      <w:marTop w:val="0"/>
      <w:marBottom w:val="0"/>
      <w:divBdr>
        <w:top w:val="none" w:sz="0" w:space="0" w:color="auto"/>
        <w:left w:val="none" w:sz="0" w:space="0" w:color="auto"/>
        <w:bottom w:val="none" w:sz="0" w:space="0" w:color="auto"/>
        <w:right w:val="none" w:sz="0" w:space="0" w:color="auto"/>
      </w:divBdr>
    </w:div>
    <w:div w:id="1725568387">
      <w:bodyDiv w:val="1"/>
      <w:marLeft w:val="0"/>
      <w:marRight w:val="0"/>
      <w:marTop w:val="0"/>
      <w:marBottom w:val="0"/>
      <w:divBdr>
        <w:top w:val="none" w:sz="0" w:space="0" w:color="auto"/>
        <w:left w:val="none" w:sz="0" w:space="0" w:color="auto"/>
        <w:bottom w:val="none" w:sz="0" w:space="0" w:color="auto"/>
        <w:right w:val="none" w:sz="0" w:space="0" w:color="auto"/>
      </w:divBdr>
    </w:div>
    <w:div w:id="1833450419">
      <w:bodyDiv w:val="1"/>
      <w:marLeft w:val="0"/>
      <w:marRight w:val="0"/>
      <w:marTop w:val="0"/>
      <w:marBottom w:val="0"/>
      <w:divBdr>
        <w:top w:val="none" w:sz="0" w:space="0" w:color="auto"/>
        <w:left w:val="none" w:sz="0" w:space="0" w:color="auto"/>
        <w:bottom w:val="none" w:sz="0" w:space="0" w:color="auto"/>
        <w:right w:val="none" w:sz="0" w:space="0" w:color="auto"/>
      </w:divBdr>
    </w:div>
    <w:div w:id="1927104932">
      <w:bodyDiv w:val="1"/>
      <w:marLeft w:val="0"/>
      <w:marRight w:val="0"/>
      <w:marTop w:val="0"/>
      <w:marBottom w:val="0"/>
      <w:divBdr>
        <w:top w:val="none" w:sz="0" w:space="0" w:color="auto"/>
        <w:left w:val="none" w:sz="0" w:space="0" w:color="auto"/>
        <w:bottom w:val="none" w:sz="0" w:space="0" w:color="auto"/>
        <w:right w:val="none" w:sz="0" w:space="0" w:color="auto"/>
      </w:divBdr>
    </w:div>
    <w:div w:id="20093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B080-34CE-4A08-B01C-5A1C04C1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11</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Bernard</dc:creator>
  <cp:keywords/>
  <dc:description/>
  <cp:lastModifiedBy>Gary Lindsay</cp:lastModifiedBy>
  <cp:revision>376</cp:revision>
  <dcterms:created xsi:type="dcterms:W3CDTF">2026-01-08T08:39:00Z</dcterms:created>
  <dcterms:modified xsi:type="dcterms:W3CDTF">2026-01-09T08:59:00Z</dcterms:modified>
</cp:coreProperties>
</file>