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FBC70" w14:textId="4B31065D" w:rsidR="00D11F48" w:rsidRDefault="009657CE">
      <w:pPr>
        <w:rPr>
          <w:b/>
          <w:bCs/>
        </w:rPr>
      </w:pPr>
      <w:r>
        <w:rPr>
          <w:b/>
          <w:bCs/>
        </w:rPr>
        <w:t>CGC comments on</w:t>
      </w:r>
      <w:r w:rsidR="00F4081D">
        <w:rPr>
          <w:b/>
          <w:bCs/>
        </w:rPr>
        <w:t xml:space="preserve"> </w:t>
      </w:r>
      <w:r w:rsidR="00F63A00" w:rsidRPr="00F63A00">
        <w:rPr>
          <w:b/>
          <w:bCs/>
        </w:rPr>
        <w:t xml:space="preserve">GCSP Emerging Local Plan (Reg 18 consultation version) – </w:t>
      </w:r>
      <w:r w:rsidR="00B83225">
        <w:rPr>
          <w:b/>
          <w:bCs/>
        </w:rPr>
        <w:t>January</w:t>
      </w:r>
      <w:r w:rsidR="00F63A00" w:rsidRPr="00F63A00">
        <w:rPr>
          <w:b/>
          <w:bCs/>
        </w:rPr>
        <w:t xml:space="preserve"> 202</w:t>
      </w:r>
      <w:r w:rsidR="00B83225">
        <w:rPr>
          <w:b/>
          <w:bCs/>
        </w:rPr>
        <w:t>6</w:t>
      </w:r>
      <w:r w:rsidR="00F63A00" w:rsidRPr="00F63A00">
        <w:rPr>
          <w:b/>
          <w:bCs/>
        </w:rPr>
        <w:t xml:space="preserve"> </w:t>
      </w:r>
    </w:p>
    <w:p w14:paraId="67346FC0" w14:textId="32CE008B" w:rsidR="00F4081D" w:rsidRDefault="00F4081D">
      <w:pPr>
        <w:rPr>
          <w:b/>
          <w:bCs/>
        </w:rPr>
      </w:pPr>
    </w:p>
    <w:p w14:paraId="1357501C" w14:textId="6C78527C" w:rsidR="00F63A00" w:rsidRPr="00F4081D" w:rsidRDefault="00F63A00">
      <w:pPr>
        <w:rPr>
          <w:b/>
          <w:bCs/>
          <w:color w:val="4C94D8" w:themeColor="text2" w:themeTint="80"/>
        </w:rPr>
      </w:pPr>
    </w:p>
    <w:tbl>
      <w:tblPr>
        <w:tblStyle w:val="TableGrid"/>
        <w:tblW w:w="0" w:type="auto"/>
        <w:tblLook w:val="04A0" w:firstRow="1" w:lastRow="0" w:firstColumn="1" w:lastColumn="0" w:noHBand="0" w:noVBand="1"/>
      </w:tblPr>
      <w:tblGrid>
        <w:gridCol w:w="2217"/>
        <w:gridCol w:w="11624"/>
      </w:tblGrid>
      <w:tr w:rsidR="00E64111" w14:paraId="076ED5CD" w14:textId="77777777" w:rsidTr="1776E591">
        <w:tc>
          <w:tcPr>
            <w:tcW w:w="2217" w:type="dxa"/>
            <w:shd w:val="clear" w:color="auto" w:fill="92D050"/>
          </w:tcPr>
          <w:p w14:paraId="0114D0CD" w14:textId="03A5B5C9" w:rsidR="00F63A00" w:rsidRDefault="00F63A00">
            <w:pPr>
              <w:rPr>
                <w:b/>
                <w:bCs/>
              </w:rPr>
            </w:pPr>
            <w:r>
              <w:rPr>
                <w:b/>
                <w:bCs/>
              </w:rPr>
              <w:t xml:space="preserve">Section / Policy Ref </w:t>
            </w:r>
            <w:r w:rsidR="00EC796A">
              <w:rPr>
                <w:b/>
                <w:bCs/>
              </w:rPr>
              <w:t xml:space="preserve"> </w:t>
            </w:r>
          </w:p>
        </w:tc>
        <w:tc>
          <w:tcPr>
            <w:tcW w:w="11624" w:type="dxa"/>
            <w:shd w:val="clear" w:color="auto" w:fill="92D050"/>
          </w:tcPr>
          <w:p w14:paraId="169B03BE" w14:textId="7113AF0E" w:rsidR="00F63A00" w:rsidRDefault="00F63A00">
            <w:pPr>
              <w:rPr>
                <w:b/>
                <w:bCs/>
              </w:rPr>
            </w:pPr>
            <w:r>
              <w:rPr>
                <w:b/>
                <w:bCs/>
              </w:rPr>
              <w:t xml:space="preserve">Comments </w:t>
            </w:r>
          </w:p>
        </w:tc>
      </w:tr>
      <w:tr w:rsidR="00E64111" w:rsidRPr="00892AAE" w14:paraId="126F6E49" w14:textId="77777777" w:rsidTr="1776E591">
        <w:tc>
          <w:tcPr>
            <w:tcW w:w="2217" w:type="dxa"/>
          </w:tcPr>
          <w:p w14:paraId="420CD09F" w14:textId="36A654C4" w:rsidR="00F63A00" w:rsidRPr="00892AAE" w:rsidRDefault="0057164C">
            <w:r w:rsidRPr="00892AAE">
              <w:t xml:space="preserve">Policy </w:t>
            </w:r>
            <w:r w:rsidR="00450B9E" w:rsidRPr="00892AAE">
              <w:t>S/JH: New jobs and homes</w:t>
            </w:r>
          </w:p>
        </w:tc>
        <w:tc>
          <w:tcPr>
            <w:tcW w:w="11624" w:type="dxa"/>
          </w:tcPr>
          <w:p w14:paraId="00AC319E" w14:textId="1EAE926B" w:rsidR="00F63A00" w:rsidRPr="00892AAE" w:rsidRDefault="00BF1D41">
            <w:r w:rsidRPr="00892AAE">
              <w:t>The plan provides for an additional 73,300 jobs over 21 years, a growth rate of 1.3% pa.  This is the central scenario considered by Iceni in their evidence base, compared with a high scenario of 1.6% pa</w:t>
            </w:r>
            <w:r w:rsidR="001F5F19">
              <w:t>.  This high sc</w:t>
            </w:r>
            <w:r w:rsidR="00DE74FD">
              <w:t>e</w:t>
            </w:r>
            <w:r w:rsidR="001F5F19">
              <w:t xml:space="preserve">nario is lower than </w:t>
            </w:r>
            <w:r w:rsidRPr="00892AAE">
              <w:t>historic growth rates of 1.8% between 2010 and 2023 and 2.</w:t>
            </w:r>
            <w:r w:rsidR="008623E4">
              <w:t>1</w:t>
            </w:r>
            <w:r w:rsidRPr="00892AAE">
              <w:t>% between 2010 and 2020.</w:t>
            </w:r>
          </w:p>
        </w:tc>
      </w:tr>
      <w:tr w:rsidR="00E64111" w:rsidRPr="00892AAE" w14:paraId="73580298" w14:textId="77777777" w:rsidTr="1776E591">
        <w:tc>
          <w:tcPr>
            <w:tcW w:w="2217" w:type="dxa"/>
          </w:tcPr>
          <w:p w14:paraId="57E6AAA1" w14:textId="77777777" w:rsidR="00F63A00" w:rsidRPr="00892AAE" w:rsidRDefault="00F63A00"/>
        </w:tc>
        <w:tc>
          <w:tcPr>
            <w:tcW w:w="11624" w:type="dxa"/>
          </w:tcPr>
          <w:p w14:paraId="472CC099" w14:textId="269F33DE" w:rsidR="00F63A00" w:rsidRPr="00892AAE" w:rsidRDefault="00E50ACB">
            <w:r w:rsidRPr="00E50ACB">
              <w:t xml:space="preserve">The 73K additional jobs is consistent with the additional jobs supported by the standard method of assessing housing need, based on population growth and affordability uplift, adding in workers who commute into Greater Cambridge.  However, the analysis uses 2011 levels of in-commuting, the most recent comprehensive data, so it is </w:t>
            </w:r>
            <w:r w:rsidR="00B6431C">
              <w:t>very likely</w:t>
            </w:r>
            <w:r w:rsidR="0053280B">
              <w:t xml:space="preserve"> to be</w:t>
            </w:r>
            <w:r w:rsidRPr="00E50ACB">
              <w:t xml:space="preserve"> undercounting current levels of in-commuting and therefore undercounting the jobs that would be supported by the standard method.</w:t>
            </w:r>
            <w:r w:rsidR="0053280B">
              <w:t xml:space="preserve">  </w:t>
            </w:r>
            <w:r w:rsidR="003B330E">
              <w:t>However,</w:t>
            </w:r>
            <w:r w:rsidR="00431306">
              <w:t xml:space="preserve"> </w:t>
            </w:r>
            <w:r w:rsidR="00D11D44">
              <w:t>it is acknowledged that</w:t>
            </w:r>
            <w:r w:rsidR="003B330E">
              <w:t xml:space="preserve"> there are no more up to date </w:t>
            </w:r>
            <w:r w:rsidR="001F1FBB">
              <w:t xml:space="preserve">published </w:t>
            </w:r>
            <w:r w:rsidR="003B330E">
              <w:t>data sources</w:t>
            </w:r>
            <w:r w:rsidR="001F1FBB">
              <w:t xml:space="preserve"> to evidence.</w:t>
            </w:r>
            <w:r w:rsidR="0053280B">
              <w:t xml:space="preserve"> </w:t>
            </w:r>
          </w:p>
        </w:tc>
      </w:tr>
      <w:tr w:rsidR="00E64111" w:rsidRPr="00892AAE" w14:paraId="15BEDF25" w14:textId="77777777" w:rsidTr="1776E591">
        <w:tc>
          <w:tcPr>
            <w:tcW w:w="2217" w:type="dxa"/>
          </w:tcPr>
          <w:p w14:paraId="126864CD" w14:textId="77777777" w:rsidR="00F63A00" w:rsidRPr="00892AAE" w:rsidRDefault="00F63A00"/>
        </w:tc>
        <w:tc>
          <w:tcPr>
            <w:tcW w:w="11624" w:type="dxa"/>
          </w:tcPr>
          <w:p w14:paraId="4B310EBE" w14:textId="77777777" w:rsidR="00FF6B89" w:rsidRDefault="00B11D69">
            <w:r w:rsidRPr="00B11D69">
              <w:t xml:space="preserve">The supporting Iceni </w:t>
            </w:r>
            <w:r w:rsidR="00FF6B89">
              <w:t xml:space="preserve">Employment and Housing Needs Update </w:t>
            </w:r>
            <w:r w:rsidRPr="00B11D69">
              <w:t xml:space="preserve">acknowledges that the high </w:t>
            </w:r>
            <w:r w:rsidR="009422AE">
              <w:t xml:space="preserve">growth </w:t>
            </w:r>
            <w:r w:rsidRPr="00B11D69">
              <w:t xml:space="preserve">scenario could be achieved or exceeded. </w:t>
            </w:r>
          </w:p>
          <w:p w14:paraId="0B8471A4" w14:textId="2FAAEC1E" w:rsidR="00F63A00" w:rsidRDefault="00B11D69">
            <w:r w:rsidRPr="00B11D69">
              <w:t>For this to take place a step change in infrastructure investment and development would be needed to facilitate growth, notably in transport to connect in and move labour, as well as in wider services infrastructure and the expansion of both housing and commercial development programmes.</w:t>
            </w:r>
          </w:p>
          <w:p w14:paraId="209639E2" w14:textId="77777777" w:rsidR="005F6AA9" w:rsidRDefault="005F6AA9"/>
          <w:p w14:paraId="0A5C6A2D" w14:textId="3EF264B8" w:rsidR="00BF684A" w:rsidRPr="00892AAE" w:rsidRDefault="00BF684A" w:rsidP="00281075">
            <w:r>
              <w:t>Assuming infrastructure constraints can be addre</w:t>
            </w:r>
            <w:r w:rsidR="00B83C10">
              <w:t>ssed</w:t>
            </w:r>
            <w:r w:rsidR="0068411B">
              <w:t xml:space="preserve"> employment and housing growth exceeding </w:t>
            </w:r>
            <w:r w:rsidR="001A19CA">
              <w:t xml:space="preserve">the Local Plan </w:t>
            </w:r>
            <w:r w:rsidR="001D50C0">
              <w:t>growth</w:t>
            </w:r>
            <w:r w:rsidR="001A19CA">
              <w:t xml:space="preserve"> </w:t>
            </w:r>
            <w:r>
              <w:t>scenario could be delivered</w:t>
            </w:r>
            <w:r w:rsidR="003747B9">
              <w:t xml:space="preserve"> within the Plan period. It is recommended that the policy wording should acknowledge</w:t>
            </w:r>
            <w:r w:rsidR="001D50C0">
              <w:t xml:space="preserve"> this and include </w:t>
            </w:r>
            <w:r w:rsidR="00281075">
              <w:t>sufficient flexibility</w:t>
            </w:r>
            <w:r w:rsidR="00BB1867">
              <w:t xml:space="preserve"> to accommodate higher levels of growth prior to 2045/beyond the </w:t>
            </w:r>
            <w:r w:rsidR="00725E48">
              <w:t xml:space="preserve">Local Plan High Growth assumptions. </w:t>
            </w:r>
            <w:r>
              <w:t xml:space="preserve"> </w:t>
            </w:r>
          </w:p>
          <w:p w14:paraId="49EFCF62" w14:textId="5A286A39" w:rsidR="00564F8F" w:rsidRPr="00892AAE" w:rsidRDefault="00564F8F"/>
        </w:tc>
      </w:tr>
      <w:tr w:rsidR="00E64111" w:rsidRPr="00892AAE" w14:paraId="1823D6CC" w14:textId="77777777" w:rsidTr="1776E591">
        <w:tc>
          <w:tcPr>
            <w:tcW w:w="2217" w:type="dxa"/>
          </w:tcPr>
          <w:p w14:paraId="56835D1D" w14:textId="77777777" w:rsidR="00F63A00" w:rsidRPr="00892AAE" w:rsidRDefault="00F63A00"/>
        </w:tc>
        <w:tc>
          <w:tcPr>
            <w:tcW w:w="11624" w:type="dxa"/>
          </w:tcPr>
          <w:p w14:paraId="178980E3" w14:textId="77777777" w:rsidR="00C24487" w:rsidRDefault="000544E2">
            <w:r w:rsidRPr="000544E2">
              <w:t xml:space="preserve">The plan provides for a minimum of 48,195 new homes over 21 years, 2,295 homes pa.  This is 37% higher than the existing plan target of 1,675 homes pa and 29% higher than the 10 year average (to 2024) of 1,781 homes pa.  </w:t>
            </w:r>
          </w:p>
          <w:p w14:paraId="6C833F49" w14:textId="77777777" w:rsidR="00C24487" w:rsidRDefault="00C24487"/>
          <w:p w14:paraId="18494C3A" w14:textId="14131CC9" w:rsidR="00F63A00" w:rsidRDefault="000544E2">
            <w:r w:rsidRPr="000544E2">
              <w:t>This historic rate is relatively high in a national context - the housing stock of Greater Cambridge grew by an average of 1.5% per annum over the 10 years between March 2014 and 2024, compared with 0.9% across England over the same period.  However, it has not kept pace with employment growth of more than 2.0% pa over 10 years</w:t>
            </w:r>
            <w:r w:rsidR="009721CD">
              <w:t xml:space="preserve">, </w:t>
            </w:r>
            <w:r w:rsidR="009721CD" w:rsidRPr="009721CD">
              <w:t xml:space="preserve">leading to more in-commuting and </w:t>
            </w:r>
            <w:r w:rsidR="00815B4F">
              <w:t xml:space="preserve">additional </w:t>
            </w:r>
            <w:r w:rsidR="00B449DC">
              <w:t xml:space="preserve">pressure on </w:t>
            </w:r>
            <w:r w:rsidR="00815B4F">
              <w:t xml:space="preserve">transport </w:t>
            </w:r>
            <w:r w:rsidR="0073742B">
              <w:t xml:space="preserve">and other </w:t>
            </w:r>
            <w:r w:rsidR="00815B4F">
              <w:t>infrastructure</w:t>
            </w:r>
          </w:p>
          <w:p w14:paraId="0898171A" w14:textId="330D9A56" w:rsidR="00B1115B" w:rsidRPr="00892AAE" w:rsidRDefault="00B1115B"/>
        </w:tc>
      </w:tr>
      <w:tr w:rsidR="00E64111" w:rsidRPr="00892AAE" w14:paraId="7BC64DC4" w14:textId="77777777" w:rsidTr="1776E591">
        <w:tc>
          <w:tcPr>
            <w:tcW w:w="2217" w:type="dxa"/>
          </w:tcPr>
          <w:p w14:paraId="31F40F80" w14:textId="77777777" w:rsidR="00F63A00" w:rsidRPr="00892AAE" w:rsidRDefault="00F63A00"/>
        </w:tc>
        <w:tc>
          <w:tcPr>
            <w:tcW w:w="11624" w:type="dxa"/>
          </w:tcPr>
          <w:p w14:paraId="557CBE7E" w14:textId="77777777" w:rsidR="00931161" w:rsidRDefault="00931161"/>
          <w:p w14:paraId="2BC9FAC3" w14:textId="13A3781F" w:rsidR="00B1115B" w:rsidRDefault="00E65EC1">
            <w:r>
              <w:t xml:space="preserve">In order to </w:t>
            </w:r>
            <w:r w:rsidR="00B14C3D">
              <w:t xml:space="preserve">enable the Plan to be responsive to changing market conditions and planned </w:t>
            </w:r>
            <w:r w:rsidR="00983425">
              <w:t xml:space="preserve"> or  new measures to alleviate infrastructure constraints</w:t>
            </w:r>
            <w:r w:rsidR="005F7D96">
              <w:t xml:space="preserve"> it is suggested that the policy wording </w:t>
            </w:r>
            <w:r w:rsidR="00B51D43" w:rsidRPr="00B51D43">
              <w:t>allows</w:t>
            </w:r>
            <w:r w:rsidR="005F7D96">
              <w:t xml:space="preserve"> </w:t>
            </w:r>
            <w:r w:rsidR="00B51D43" w:rsidRPr="00B51D43">
              <w:t xml:space="preserve">for </w:t>
            </w:r>
            <w:r w:rsidR="00931161">
              <w:t xml:space="preserve">housing </w:t>
            </w:r>
            <w:r w:rsidR="00B51D43" w:rsidRPr="00B51D43">
              <w:t xml:space="preserve">growth </w:t>
            </w:r>
            <w:r w:rsidR="005D1E67">
              <w:t xml:space="preserve">beyond </w:t>
            </w:r>
            <w:r w:rsidR="00EC5325">
              <w:t xml:space="preserve">the </w:t>
            </w:r>
            <w:r w:rsidR="00704512">
              <w:t xml:space="preserve">Local Plan High Growth trajectory.  </w:t>
            </w:r>
          </w:p>
          <w:p w14:paraId="33331BEC" w14:textId="77777777" w:rsidR="00E64111" w:rsidRDefault="00E64111"/>
          <w:p w14:paraId="7B036E99" w14:textId="441A5D7B" w:rsidR="00942D29" w:rsidRPr="00892AAE" w:rsidRDefault="00942D29" w:rsidP="0073742B"/>
        </w:tc>
      </w:tr>
      <w:tr w:rsidR="00E64111" w:rsidRPr="00892AAE" w14:paraId="33D722A5" w14:textId="77777777" w:rsidTr="1776E591">
        <w:tc>
          <w:tcPr>
            <w:tcW w:w="2217" w:type="dxa"/>
          </w:tcPr>
          <w:p w14:paraId="1C5B470B" w14:textId="5C33F554" w:rsidR="00957FA4" w:rsidRPr="00B1115B" w:rsidRDefault="00957FA4" w:rsidP="00957FA4">
            <w:r w:rsidRPr="00B1115B">
              <w:t>Policy S/DS: Development Strategy</w:t>
            </w:r>
          </w:p>
        </w:tc>
        <w:tc>
          <w:tcPr>
            <w:tcW w:w="11624" w:type="dxa"/>
          </w:tcPr>
          <w:p w14:paraId="23256E73" w14:textId="4A0A15C6" w:rsidR="00332711" w:rsidRPr="00B1115B" w:rsidRDefault="00957FA4" w:rsidP="00957FA4">
            <w:r w:rsidRPr="00B1115B">
              <w:t xml:space="preserve">Current pipeline supply of 37,865 homes including adopted allocations, sites with planning permission or resolution to grant planning, and windfall allowance, 10,330 additional homes from new allocations will be provided. 3,133 (6.5%) additional homes above the identified housing need have been identified. </w:t>
            </w:r>
            <w:r w:rsidR="00E72169">
              <w:t xml:space="preserve">CGC is supportive of the </w:t>
            </w:r>
            <w:r w:rsidR="00E40E76">
              <w:t>Development Strategy identified in the draft Plan</w:t>
            </w:r>
            <w:r w:rsidR="008D1685">
              <w:t xml:space="preserve"> but </w:t>
            </w:r>
            <w:r w:rsidR="000E3E16">
              <w:t>recommends that the planned allocations</w:t>
            </w:r>
            <w:r w:rsidR="00E70FFF">
              <w:t xml:space="preserve"> and the housing and employment growth identified in each</w:t>
            </w:r>
            <w:r w:rsidR="008571A4">
              <w:t xml:space="preserve">, are treated as the minimum requirements </w:t>
            </w:r>
            <w:r w:rsidR="00725ECA">
              <w:t>and that the allocations are f</w:t>
            </w:r>
            <w:r w:rsidR="007917C8">
              <w:t xml:space="preserve">lexible enough </w:t>
            </w:r>
            <w:r w:rsidR="00587E71">
              <w:t>to allow for optimised levels of growth</w:t>
            </w:r>
            <w:r w:rsidR="002C09DE">
              <w:t>. Identifi</w:t>
            </w:r>
            <w:r w:rsidR="006B6F8A">
              <w:t>cation of options for future expansion and extensions of these allocations where these can be supported in</w:t>
            </w:r>
            <w:r w:rsidR="0097551B">
              <w:t xml:space="preserve"> transport, landscape, and in green and other infrastructure</w:t>
            </w:r>
            <w:r w:rsidR="00AB78FC">
              <w:t xml:space="preserve"> terms is supported by CGC.</w:t>
            </w:r>
          </w:p>
          <w:p w14:paraId="626A65C1" w14:textId="77777777" w:rsidR="0021368C" w:rsidRPr="00B1115B" w:rsidRDefault="0021368C" w:rsidP="00894F4A"/>
          <w:p w14:paraId="74C139E6" w14:textId="5F541D61" w:rsidR="0021368C" w:rsidRPr="00B1115B" w:rsidRDefault="0021368C" w:rsidP="00BD77F3"/>
        </w:tc>
      </w:tr>
      <w:tr w:rsidR="005D3F5A" w:rsidRPr="00892AAE" w14:paraId="62EC776F" w14:textId="77777777" w:rsidTr="1776E591">
        <w:tc>
          <w:tcPr>
            <w:tcW w:w="2217" w:type="dxa"/>
          </w:tcPr>
          <w:p w14:paraId="2766D3AA" w14:textId="77777777" w:rsidR="00FD0B85" w:rsidRPr="002B75FD" w:rsidRDefault="00FD0B85" w:rsidP="00FD0B85">
            <w:pPr>
              <w:shd w:val="clear" w:color="auto" w:fill="FFFFFF"/>
              <w:spacing w:before="240" w:after="100" w:afterAutospacing="1"/>
              <w:outlineLvl w:val="1"/>
              <w:rPr>
                <w:rFonts w:eastAsia="Times New Roman" w:cs="Arial"/>
                <w:b/>
                <w:bCs/>
                <w:color w:val="3B3B3B"/>
                <w:kern w:val="0"/>
                <w:lang w:eastAsia="en-GB"/>
                <w14:ligatures w14:val="none"/>
              </w:rPr>
            </w:pPr>
            <w:r w:rsidRPr="00FD0B85">
              <w:rPr>
                <w:rFonts w:eastAsia="Times New Roman" w:cs="Arial"/>
                <w:b/>
                <w:bCs/>
                <w:color w:val="3B3B3B"/>
                <w:kern w:val="0"/>
                <w:lang w:eastAsia="en-GB"/>
                <w14:ligatures w14:val="none"/>
              </w:rPr>
              <w:t>Policy S/CB: Cambourne</w:t>
            </w:r>
          </w:p>
          <w:p w14:paraId="71E0D7FA" w14:textId="77777777" w:rsidR="00F520CA" w:rsidRPr="002B75FD" w:rsidRDefault="00F520CA" w:rsidP="00FD0B85">
            <w:pPr>
              <w:shd w:val="clear" w:color="auto" w:fill="FFFFFF"/>
              <w:spacing w:before="240" w:after="100" w:afterAutospacing="1"/>
              <w:outlineLvl w:val="1"/>
              <w:rPr>
                <w:rFonts w:eastAsia="Times New Roman" w:cs="Arial"/>
                <w:b/>
                <w:bCs/>
                <w:color w:val="3B3B3B"/>
                <w:kern w:val="0"/>
                <w:lang w:eastAsia="en-GB"/>
                <w14:ligatures w14:val="none"/>
              </w:rPr>
            </w:pPr>
          </w:p>
          <w:p w14:paraId="3219F7A4" w14:textId="77777777" w:rsidR="005E0046" w:rsidRDefault="005E0046" w:rsidP="00FD0B85">
            <w:pPr>
              <w:shd w:val="clear" w:color="auto" w:fill="FFFFFF"/>
              <w:spacing w:before="240" w:after="100" w:afterAutospacing="1"/>
              <w:outlineLvl w:val="1"/>
              <w:rPr>
                <w:rStyle w:val="Strong"/>
              </w:rPr>
            </w:pPr>
          </w:p>
          <w:p w14:paraId="472651D5" w14:textId="2EE213AF" w:rsidR="00F520CA" w:rsidRPr="00FD0B85" w:rsidRDefault="00F520CA" w:rsidP="00FD0B85">
            <w:pPr>
              <w:shd w:val="clear" w:color="auto" w:fill="FFFFFF"/>
              <w:spacing w:before="240" w:after="100" w:afterAutospacing="1"/>
              <w:outlineLvl w:val="1"/>
              <w:rPr>
                <w:rFonts w:eastAsia="Times New Roman" w:cs="Arial"/>
                <w:b/>
                <w:bCs/>
                <w:color w:val="3B3B3B"/>
                <w:kern w:val="0"/>
                <w:lang w:eastAsia="en-GB"/>
                <w14:ligatures w14:val="none"/>
              </w:rPr>
            </w:pPr>
            <w:r w:rsidRPr="002B75FD">
              <w:rPr>
                <w:rStyle w:val="Strong"/>
                <w:rFonts w:cs="Arial"/>
                <w:color w:val="3B3B3B"/>
                <w:shd w:val="clear" w:color="auto" w:fill="FFFFFF"/>
              </w:rPr>
              <w:t>Cambourne North (Policy S/CBN)</w:t>
            </w:r>
          </w:p>
          <w:p w14:paraId="097271C2" w14:textId="77777777" w:rsidR="005D3F5A" w:rsidRDefault="005D3F5A"/>
        </w:tc>
        <w:tc>
          <w:tcPr>
            <w:tcW w:w="11624" w:type="dxa"/>
          </w:tcPr>
          <w:p w14:paraId="764E23B0" w14:textId="77777777" w:rsidR="00E910EC" w:rsidRDefault="00E910EC" w:rsidP="00E910EC"/>
          <w:p w14:paraId="6424BD25" w14:textId="43F5E208" w:rsidR="00271AEE" w:rsidRPr="00B57BE1" w:rsidRDefault="003778E3" w:rsidP="00E57B80">
            <w:pPr>
              <w:rPr>
                <w:rFonts w:cs="Arial"/>
                <w:color w:val="3B3B3B"/>
                <w:shd w:val="clear" w:color="auto" w:fill="FFFFFF"/>
              </w:rPr>
            </w:pPr>
            <w:r>
              <w:rPr>
                <w:rFonts w:cs="Arial"/>
                <w:color w:val="3B3B3B"/>
                <w:shd w:val="clear" w:color="auto" w:fill="FFFFFF"/>
              </w:rPr>
              <w:t xml:space="preserve">CGC recommends that consideration is given to </w:t>
            </w:r>
            <w:r w:rsidR="00285D86">
              <w:rPr>
                <w:rFonts w:cs="Arial"/>
                <w:color w:val="3B3B3B"/>
                <w:shd w:val="clear" w:color="auto" w:fill="FFFFFF"/>
              </w:rPr>
              <w:t>building in flexibility</w:t>
            </w:r>
            <w:r w:rsidR="00271AEE" w:rsidRPr="00B57BE1">
              <w:rPr>
                <w:rFonts w:cs="Arial"/>
                <w:color w:val="3B3B3B"/>
                <w:shd w:val="clear" w:color="auto" w:fill="FFFFFF"/>
              </w:rPr>
              <w:t xml:space="preserve"> for a greater level of employment </w:t>
            </w:r>
            <w:r w:rsidR="00E348E1" w:rsidRPr="00B57BE1">
              <w:rPr>
                <w:rFonts w:cs="Arial"/>
                <w:color w:val="3B3B3B"/>
                <w:shd w:val="clear" w:color="auto" w:fill="FFFFFF"/>
              </w:rPr>
              <w:t xml:space="preserve">ambition at Cambourne </w:t>
            </w:r>
            <w:r w:rsidR="002E3313">
              <w:rPr>
                <w:rFonts w:cs="Arial"/>
                <w:color w:val="3B3B3B"/>
                <w:shd w:val="clear" w:color="auto" w:fill="FFFFFF"/>
              </w:rPr>
              <w:t xml:space="preserve">West and North </w:t>
            </w:r>
            <w:r w:rsidR="00E348E1" w:rsidRPr="00B57BE1">
              <w:rPr>
                <w:rFonts w:cs="Arial"/>
                <w:color w:val="3B3B3B"/>
                <w:shd w:val="clear" w:color="auto" w:fill="FFFFFF"/>
              </w:rPr>
              <w:t>linked to the provision of an EWR station.</w:t>
            </w:r>
          </w:p>
          <w:p w14:paraId="6FB0DC0A" w14:textId="77777777" w:rsidR="00E348E1" w:rsidRPr="00B57BE1" w:rsidRDefault="00E348E1" w:rsidP="00743A3B">
            <w:pPr>
              <w:rPr>
                <w:rFonts w:cs="Arial"/>
                <w:color w:val="3B3B3B"/>
                <w:shd w:val="clear" w:color="auto" w:fill="FFFFFF"/>
              </w:rPr>
            </w:pPr>
          </w:p>
          <w:p w14:paraId="39816AE2" w14:textId="2D1A8D98" w:rsidR="00CE5C8A" w:rsidRPr="00B57BE1" w:rsidRDefault="00E348E1" w:rsidP="00743A3B">
            <w:r w:rsidRPr="00B57BE1">
              <w:rPr>
                <w:rFonts w:cs="Arial"/>
                <w:color w:val="3B3B3B"/>
                <w:shd w:val="clear" w:color="auto" w:fill="FFFFFF"/>
              </w:rPr>
              <w:t>T</w:t>
            </w:r>
            <w:r w:rsidR="005E0046" w:rsidRPr="00B57BE1">
              <w:rPr>
                <w:rFonts w:cs="Arial"/>
                <w:color w:val="3B3B3B"/>
                <w:shd w:val="clear" w:color="auto" w:fill="FFFFFF"/>
              </w:rPr>
              <w:t xml:space="preserve">he Councils </w:t>
            </w:r>
            <w:r w:rsidR="00921F79" w:rsidRPr="00B57BE1">
              <w:rPr>
                <w:rFonts w:cs="Arial"/>
                <w:color w:val="3B3B3B"/>
                <w:shd w:val="clear" w:color="auto" w:fill="FFFFFF"/>
              </w:rPr>
              <w:t xml:space="preserve">Cambourne Economic Study </w:t>
            </w:r>
            <w:hyperlink r:id="rId10" w:history="1">
              <w:r w:rsidR="00271AEE" w:rsidRPr="00B57BE1">
                <w:rPr>
                  <w:color w:val="0000FF"/>
                  <w:u w:val="single"/>
                </w:rPr>
                <w:t>EBGCLPCESDec25.pdf</w:t>
              </w:r>
            </w:hyperlink>
            <w:r w:rsidRPr="00B57BE1">
              <w:t xml:space="preserve"> considered</w:t>
            </w:r>
            <w:r w:rsidR="00706B3A" w:rsidRPr="00B57BE1">
              <w:t xml:space="preserve"> </w:t>
            </w:r>
            <w:r w:rsidR="006F6E85" w:rsidRPr="00B57BE1">
              <w:t xml:space="preserve">five options </w:t>
            </w:r>
            <w:r w:rsidR="00706B3A" w:rsidRPr="00B57BE1">
              <w:t xml:space="preserve">for developing the employment uses at Cambourne. </w:t>
            </w:r>
            <w:r w:rsidR="006F6E85" w:rsidRPr="00B57BE1">
              <w:t xml:space="preserve">With a scale of ambition ranging between </w:t>
            </w:r>
            <w:r w:rsidR="00CE5C8A" w:rsidRPr="00B57BE1">
              <w:t>4,000 jobs and 18,000 jobs</w:t>
            </w:r>
            <w:r w:rsidR="00315C18">
              <w:t xml:space="preserve"> in the long term</w:t>
            </w:r>
            <w:r w:rsidR="00CE5C8A" w:rsidRPr="00B57BE1">
              <w:t xml:space="preserve">.  </w:t>
            </w:r>
          </w:p>
          <w:p w14:paraId="3031FB3E" w14:textId="77777777" w:rsidR="00CE5C8A" w:rsidRPr="00B57BE1" w:rsidRDefault="00CE5C8A" w:rsidP="00743A3B"/>
          <w:p w14:paraId="784B4495" w14:textId="6D7B6D6F" w:rsidR="005E0046" w:rsidRPr="00B57BE1" w:rsidRDefault="00167685" w:rsidP="00743A3B">
            <w:r>
              <w:t xml:space="preserve">It could be clearer how the </w:t>
            </w:r>
            <w:r w:rsidR="00CE5C8A" w:rsidRPr="00B57BE1">
              <w:t xml:space="preserve">Draft Local Plan </w:t>
            </w:r>
            <w:r w:rsidR="00A54170" w:rsidRPr="00B57BE1">
              <w:t>draw</w:t>
            </w:r>
            <w:r>
              <w:t>s</w:t>
            </w:r>
            <w:r w:rsidR="00A54170" w:rsidRPr="00B57BE1">
              <w:t xml:space="preserve"> from th</w:t>
            </w:r>
            <w:r>
              <w:t>is</w:t>
            </w:r>
            <w:r w:rsidR="00A54170" w:rsidRPr="00B57BE1">
              <w:t xml:space="preserve"> evidence to </w:t>
            </w:r>
            <w:r w:rsidR="00CE5C8A" w:rsidRPr="00B57BE1">
              <w:t xml:space="preserve">set </w:t>
            </w:r>
            <w:r w:rsidR="006C0517">
              <w:t xml:space="preserve">the </w:t>
            </w:r>
            <w:r w:rsidR="00CE5C8A" w:rsidRPr="00B57BE1">
              <w:t xml:space="preserve">vision for the role of the employment land </w:t>
            </w:r>
            <w:r w:rsidR="00A54170" w:rsidRPr="00B57BE1">
              <w:t>in terms</w:t>
            </w:r>
            <w:r w:rsidR="0001153D" w:rsidRPr="00B57BE1">
              <w:t xml:space="preserve"> </w:t>
            </w:r>
            <w:r w:rsidR="00A54170" w:rsidRPr="00B57BE1">
              <w:t xml:space="preserve">of the sectors catered for and </w:t>
            </w:r>
            <w:r w:rsidR="006C0517">
              <w:t xml:space="preserve">on the amount of </w:t>
            </w:r>
            <w:r w:rsidR="00A54170" w:rsidRPr="00B57BE1">
              <w:t>development</w:t>
            </w:r>
            <w:r w:rsidR="00C368F3">
              <w:t xml:space="preserve"> that would optimise employment growth</w:t>
            </w:r>
            <w:r w:rsidR="00A54170" w:rsidRPr="00B57BE1">
              <w:t xml:space="preserve">. </w:t>
            </w:r>
          </w:p>
          <w:p w14:paraId="46632E6D" w14:textId="0FB37BC8" w:rsidR="00C368F3" w:rsidRPr="00B57BE1" w:rsidRDefault="00C368F3" w:rsidP="00743A3B"/>
          <w:p w14:paraId="290B96E8" w14:textId="2D37C3C7" w:rsidR="0023143B" w:rsidRPr="00B57BE1" w:rsidRDefault="00C368F3" w:rsidP="00743A3B">
            <w:r>
              <w:t>CGC</w:t>
            </w:r>
            <w:r w:rsidR="008627DA" w:rsidRPr="00B57BE1">
              <w:t xml:space="preserve"> recommend</w:t>
            </w:r>
            <w:r>
              <w:t>s</w:t>
            </w:r>
            <w:r w:rsidR="008627DA" w:rsidRPr="00B57BE1">
              <w:t xml:space="preserve"> that flexibility is built into </w:t>
            </w:r>
            <w:r w:rsidR="00315C18">
              <w:t xml:space="preserve">Local Plan </w:t>
            </w:r>
            <w:r w:rsidR="008627DA" w:rsidRPr="00B57BE1">
              <w:t xml:space="preserve">proposals to </w:t>
            </w:r>
            <w:r w:rsidR="00C76FF1" w:rsidRPr="00B57BE1">
              <w:t xml:space="preserve">allow for future expansion aligning with the </w:t>
            </w:r>
            <w:r w:rsidR="0023143B" w:rsidRPr="00B57BE1">
              <w:t xml:space="preserve">high and very high growth </w:t>
            </w:r>
            <w:r w:rsidR="00011449">
              <w:t xml:space="preserve">employment </w:t>
            </w:r>
            <w:r w:rsidR="0023143B" w:rsidRPr="00B57BE1">
              <w:t xml:space="preserve">options </w:t>
            </w:r>
            <w:r w:rsidR="00011449">
              <w:t xml:space="preserve">at Cambourne highlighted </w:t>
            </w:r>
            <w:r w:rsidR="0023143B" w:rsidRPr="00B57BE1">
              <w:t>in the Council’s evidence base including:</w:t>
            </w:r>
          </w:p>
          <w:p w14:paraId="0DFCDEB9" w14:textId="39FA7B39" w:rsidR="0023143B" w:rsidRPr="00B57BE1" w:rsidRDefault="0023143B" w:rsidP="00B56C47">
            <w:pPr>
              <w:pStyle w:val="ListParagraph"/>
              <w:numPr>
                <w:ilvl w:val="0"/>
                <w:numId w:val="3"/>
              </w:numPr>
            </w:pPr>
            <w:r w:rsidRPr="00B57BE1">
              <w:t>Mid</w:t>
            </w:r>
            <w:r w:rsidR="00085072" w:rsidRPr="00B57BE1">
              <w:t>/</w:t>
            </w:r>
            <w:r w:rsidRPr="00B57BE1">
              <w:t xml:space="preserve">Mixed tech </w:t>
            </w:r>
          </w:p>
          <w:p w14:paraId="08FA9007" w14:textId="77777777" w:rsidR="00085072" w:rsidRPr="00B57BE1" w:rsidRDefault="0023143B" w:rsidP="00B56C47">
            <w:pPr>
              <w:pStyle w:val="ListParagraph"/>
              <w:numPr>
                <w:ilvl w:val="0"/>
                <w:numId w:val="3"/>
              </w:numPr>
            </w:pPr>
            <w:r w:rsidRPr="00B57BE1">
              <w:t xml:space="preserve">Industrial + ICT </w:t>
            </w:r>
          </w:p>
          <w:p w14:paraId="2C2BF79B" w14:textId="2B4E41FA" w:rsidR="008627DA" w:rsidRPr="00B57BE1" w:rsidRDefault="00085072" w:rsidP="00B56C47">
            <w:pPr>
              <w:pStyle w:val="ListParagraph"/>
              <w:numPr>
                <w:ilvl w:val="0"/>
                <w:numId w:val="3"/>
              </w:numPr>
            </w:pPr>
            <w:r w:rsidRPr="00B57BE1">
              <w:t xml:space="preserve">Life science </w:t>
            </w:r>
            <w:r w:rsidR="0023143B" w:rsidRPr="00B57BE1">
              <w:t xml:space="preserve"> </w:t>
            </w:r>
            <w:r w:rsidR="00C76FF1" w:rsidRPr="00B57BE1">
              <w:t xml:space="preserve"> </w:t>
            </w:r>
          </w:p>
          <w:p w14:paraId="5410CC5C" w14:textId="77777777" w:rsidR="00085072" w:rsidRPr="00B57BE1" w:rsidRDefault="00085072" w:rsidP="00743A3B"/>
          <w:p w14:paraId="1A7080DF" w14:textId="77777777" w:rsidR="00315C18" w:rsidRDefault="008D7A55" w:rsidP="00743A3B">
            <w:r w:rsidRPr="00315C18">
              <w:rPr>
                <w:b/>
                <w:bCs/>
              </w:rPr>
              <w:t>J</w:t>
            </w:r>
            <w:r w:rsidR="00085072" w:rsidRPr="00315C18">
              <w:rPr>
                <w:b/>
                <w:bCs/>
              </w:rPr>
              <w:t>ustification</w:t>
            </w:r>
            <w:r w:rsidRPr="00315C18">
              <w:rPr>
                <w:b/>
                <w:bCs/>
              </w:rPr>
              <w:t>:</w:t>
            </w:r>
            <w:r w:rsidRPr="00B57BE1">
              <w:t xml:space="preserve"> </w:t>
            </w:r>
          </w:p>
          <w:p w14:paraId="39038F79" w14:textId="1727F1CF" w:rsidR="00011449" w:rsidRDefault="00315C18" w:rsidP="00743A3B">
            <w:r>
              <w:t>T</w:t>
            </w:r>
            <w:r w:rsidR="009E382E" w:rsidRPr="00B57BE1">
              <w:t xml:space="preserve">he </w:t>
            </w:r>
            <w:r w:rsidR="008D7A55" w:rsidRPr="00B57BE1">
              <w:t xml:space="preserve">additional </w:t>
            </w:r>
            <w:r w:rsidR="009E382E" w:rsidRPr="00B57BE1">
              <w:t>scale of growth is supported b</w:t>
            </w:r>
            <w:r w:rsidR="00D61A8B">
              <w:t xml:space="preserve">y the Council’s evidence base </w:t>
            </w:r>
            <w:r w:rsidR="009E382E" w:rsidRPr="00B57BE1">
              <w:t xml:space="preserve"> and </w:t>
            </w:r>
            <w:r w:rsidR="00A525B3">
              <w:t>East West Rail.</w:t>
            </w:r>
          </w:p>
          <w:p w14:paraId="25172FAF" w14:textId="77777777" w:rsidR="00B3107B" w:rsidRDefault="00B3107B" w:rsidP="00743A3B"/>
          <w:p w14:paraId="36829555" w14:textId="0206A4E5" w:rsidR="00C903B5" w:rsidRDefault="001451A3" w:rsidP="00743A3B">
            <w:r w:rsidRPr="00B57BE1">
              <w:t xml:space="preserve">Development opportunities </w:t>
            </w:r>
            <w:r w:rsidR="002F3B30" w:rsidRPr="00B57BE1">
              <w:t xml:space="preserve">at Cambourne </w:t>
            </w:r>
            <w:r w:rsidRPr="00B57BE1">
              <w:t>provide for additional choice and flexibility</w:t>
            </w:r>
            <w:r w:rsidR="002F3B30" w:rsidRPr="00B57BE1">
              <w:t xml:space="preserve"> </w:t>
            </w:r>
            <w:r w:rsidRPr="00B57BE1">
              <w:t>beyond existing consented employment space</w:t>
            </w:r>
            <w:r w:rsidR="00A662ED">
              <w:t xml:space="preserve"> and present the opportunity to create a strategic investment location particularly for </w:t>
            </w:r>
            <w:r w:rsidR="00AD4528">
              <w:t xml:space="preserve">more extensive uses which are less able to be accommodated at </w:t>
            </w:r>
            <w:r w:rsidR="00A525B3">
              <w:t xml:space="preserve">for instance, </w:t>
            </w:r>
            <w:r w:rsidR="00AD4528">
              <w:t>CBC</w:t>
            </w:r>
            <w:r w:rsidRPr="00B57BE1">
              <w:t xml:space="preserve">. The opportunity at Cambourne allows </w:t>
            </w:r>
            <w:r w:rsidR="00D079A7">
              <w:t xml:space="preserve">one or more </w:t>
            </w:r>
            <w:r w:rsidR="0010227A">
              <w:t xml:space="preserve">specialised </w:t>
            </w:r>
            <w:r w:rsidR="00D079A7">
              <w:t>clusters to be planned fo</w:t>
            </w:r>
            <w:r w:rsidR="0010227A">
              <w:t>r</w:t>
            </w:r>
            <w:r w:rsidR="002F3B30" w:rsidRPr="00B57BE1">
              <w:t xml:space="preserve"> from the outset allowing room for future expansion of businesses.</w:t>
            </w:r>
            <w:r w:rsidRPr="00B57BE1">
              <w:t xml:space="preserve"> </w:t>
            </w:r>
            <w:r w:rsidR="0010227A">
              <w:t xml:space="preserve"> The town centre and amenity offer at Cambourne can also grow to serve business as well as residential needs.</w:t>
            </w:r>
          </w:p>
          <w:p w14:paraId="0682CC83" w14:textId="177A5FAC" w:rsidR="000A50F0" w:rsidRPr="00B57BE1" w:rsidRDefault="000A50F0" w:rsidP="00E910EC"/>
        </w:tc>
      </w:tr>
      <w:tr w:rsidR="009D599D" w:rsidRPr="00892AAE" w14:paraId="6DF3F771" w14:textId="77777777" w:rsidTr="1776E591">
        <w:tc>
          <w:tcPr>
            <w:tcW w:w="2217" w:type="dxa"/>
          </w:tcPr>
          <w:p w14:paraId="4D6CD39C" w14:textId="77777777" w:rsidR="009D599D" w:rsidRPr="00800779" w:rsidRDefault="009D599D" w:rsidP="009D599D">
            <w:pPr>
              <w:rPr>
                <w:b/>
                <w:bCs/>
              </w:rPr>
            </w:pPr>
            <w:r w:rsidRPr="00800779">
              <w:rPr>
                <w:b/>
                <w:bCs/>
              </w:rPr>
              <w:t>Policy S/CE: Cambridge East</w:t>
            </w:r>
          </w:p>
          <w:p w14:paraId="3BB27B61" w14:textId="77777777" w:rsidR="009D599D" w:rsidRPr="00CA294D" w:rsidRDefault="009D599D" w:rsidP="009D599D"/>
        </w:tc>
        <w:tc>
          <w:tcPr>
            <w:tcW w:w="11624" w:type="dxa"/>
          </w:tcPr>
          <w:p w14:paraId="413E6BBA" w14:textId="6CC904F3" w:rsidR="002741AF" w:rsidRPr="00CA294D" w:rsidRDefault="00333F64" w:rsidP="003F7948">
            <w:pPr>
              <w:rPr>
                <w:lang w:val="en-US"/>
              </w:rPr>
            </w:pPr>
            <w:r>
              <w:rPr>
                <w:lang w:val="en-US"/>
              </w:rPr>
              <w:t>CGC is supportive of this policy</w:t>
            </w:r>
            <w:r w:rsidR="005F3A08">
              <w:rPr>
                <w:lang w:val="en-US"/>
              </w:rPr>
              <w:t xml:space="preserve">. </w:t>
            </w:r>
            <w:r w:rsidR="00AD7908">
              <w:rPr>
                <w:lang w:val="en-US"/>
              </w:rPr>
              <w:t>CGC would welcome the opportunity t</w:t>
            </w:r>
            <w:r w:rsidR="00CA294D" w:rsidRPr="00CA294D">
              <w:rPr>
                <w:lang w:val="en-US"/>
              </w:rPr>
              <w:t xml:space="preserve">o work jointly with GCSP </w:t>
            </w:r>
            <w:r w:rsidR="009E03B4">
              <w:rPr>
                <w:lang w:val="en-US"/>
              </w:rPr>
              <w:t xml:space="preserve">on this </w:t>
            </w:r>
            <w:r w:rsidR="0031213C">
              <w:rPr>
                <w:lang w:val="en-US"/>
              </w:rPr>
              <w:t>allocation</w:t>
            </w:r>
            <w:r w:rsidR="004B10AA">
              <w:rPr>
                <w:lang w:val="en-US"/>
              </w:rPr>
              <w:t xml:space="preserve"> and </w:t>
            </w:r>
            <w:r w:rsidR="0031213C">
              <w:rPr>
                <w:lang w:val="en-US"/>
              </w:rPr>
              <w:t>in particular</w:t>
            </w:r>
            <w:r w:rsidR="00EF1684">
              <w:rPr>
                <w:lang w:val="en-US"/>
              </w:rPr>
              <w:t xml:space="preserve"> </w:t>
            </w:r>
            <w:r w:rsidR="007B54CB">
              <w:rPr>
                <w:lang w:val="en-US"/>
              </w:rPr>
              <w:t xml:space="preserve"> on further work which could support </w:t>
            </w:r>
            <w:r w:rsidR="00E723FD">
              <w:rPr>
                <w:lang w:val="en-US"/>
              </w:rPr>
              <w:t xml:space="preserve">the </w:t>
            </w:r>
            <w:r w:rsidR="008D52BC">
              <w:rPr>
                <w:lang w:val="en-US"/>
              </w:rPr>
              <w:t>potential for</w:t>
            </w:r>
            <w:r w:rsidR="00E723FD">
              <w:rPr>
                <w:lang w:val="en-US"/>
              </w:rPr>
              <w:t xml:space="preserve"> a higher development capacity than </w:t>
            </w:r>
            <w:r w:rsidR="0011758B">
              <w:rPr>
                <w:lang w:val="en-US"/>
              </w:rPr>
              <w:t>that currently identified in the draft Plan</w:t>
            </w:r>
            <w:r w:rsidR="003B1282">
              <w:rPr>
                <w:lang w:val="en-US"/>
              </w:rPr>
              <w:t xml:space="preserve"> given</w:t>
            </w:r>
            <w:r w:rsidR="004B10AA">
              <w:rPr>
                <w:lang w:val="en-US"/>
              </w:rPr>
              <w:t xml:space="preserve"> </w:t>
            </w:r>
            <w:r w:rsidR="003B1282">
              <w:rPr>
                <w:lang w:val="en-US"/>
              </w:rPr>
              <w:t xml:space="preserve">the </w:t>
            </w:r>
            <w:r w:rsidR="00B8044E">
              <w:rPr>
                <w:lang w:val="en-US"/>
              </w:rPr>
              <w:t xml:space="preserve">potential future transport accessibility and capacity </w:t>
            </w:r>
            <w:r w:rsidR="0087403E">
              <w:rPr>
                <w:lang w:val="en-US"/>
              </w:rPr>
              <w:t>related to the EWR</w:t>
            </w:r>
            <w:r w:rsidR="008D6DC0">
              <w:rPr>
                <w:lang w:val="en-US"/>
              </w:rPr>
              <w:t xml:space="preserve"> station at Cambridge East.</w:t>
            </w:r>
            <w:r w:rsidR="00B8044E">
              <w:rPr>
                <w:lang w:val="en-US"/>
              </w:rPr>
              <w:t xml:space="preserve"> </w:t>
            </w:r>
            <w:r w:rsidR="00E95D0B">
              <w:rPr>
                <w:lang w:val="en-US"/>
              </w:rPr>
              <w:t xml:space="preserve"> </w:t>
            </w:r>
            <w:r w:rsidR="003F78C4" w:rsidRPr="00CA294D">
              <w:rPr>
                <w:lang w:val="en-US"/>
              </w:rPr>
              <w:t xml:space="preserve">The provision of </w:t>
            </w:r>
            <w:r w:rsidR="00E95D0B">
              <w:rPr>
                <w:lang w:val="en-US"/>
              </w:rPr>
              <w:t>the</w:t>
            </w:r>
            <w:r w:rsidR="003F78C4" w:rsidRPr="00CA294D">
              <w:rPr>
                <w:lang w:val="en-US"/>
              </w:rPr>
              <w:t xml:space="preserve"> station would open the opportunity for </w:t>
            </w:r>
            <w:r w:rsidR="002741AF" w:rsidRPr="00CA294D">
              <w:rPr>
                <w:lang w:val="en-US"/>
              </w:rPr>
              <w:t>additional employment and mixed use proposals</w:t>
            </w:r>
            <w:r w:rsidR="00E95D0B">
              <w:rPr>
                <w:lang w:val="en-US"/>
              </w:rPr>
              <w:t xml:space="preserve"> and also </w:t>
            </w:r>
            <w:r w:rsidR="00EF1684">
              <w:rPr>
                <w:lang w:val="en-US"/>
              </w:rPr>
              <w:t xml:space="preserve">on whether there is the potential for </w:t>
            </w:r>
            <w:r w:rsidR="00EF1684" w:rsidRPr="00CA294D">
              <w:rPr>
                <w:lang w:val="en-US"/>
              </w:rPr>
              <w:t xml:space="preserve"> future expansion to the east</w:t>
            </w:r>
            <w:r w:rsidR="003F7948">
              <w:rPr>
                <w:lang w:val="en-US"/>
              </w:rPr>
              <w:t xml:space="preserve"> of the allocation for Cambridge East identified in the draft Plan.</w:t>
            </w:r>
            <w:r w:rsidR="003F7948">
              <w:t xml:space="preserve"> </w:t>
            </w:r>
          </w:p>
          <w:p w14:paraId="4934141A" w14:textId="33838267" w:rsidR="00800779" w:rsidRPr="00CA294D" w:rsidRDefault="00800779" w:rsidP="003F7948">
            <w:pPr>
              <w:rPr>
                <w:lang w:val="en-US"/>
              </w:rPr>
            </w:pPr>
          </w:p>
        </w:tc>
      </w:tr>
      <w:tr w:rsidR="00630A28" w:rsidRPr="00892AAE" w14:paraId="2722DAF6" w14:textId="77777777" w:rsidTr="1776E591">
        <w:tc>
          <w:tcPr>
            <w:tcW w:w="2217" w:type="dxa"/>
          </w:tcPr>
          <w:p w14:paraId="422DEA10" w14:textId="1E3D7A06" w:rsidR="00630A28" w:rsidRPr="00146A37" w:rsidRDefault="00630A28" w:rsidP="00630A28">
            <w:pPr>
              <w:rPr>
                <w:b/>
                <w:bCs/>
              </w:rPr>
            </w:pPr>
            <w:r w:rsidRPr="00146A37">
              <w:rPr>
                <w:b/>
                <w:bCs/>
              </w:rPr>
              <w:t xml:space="preserve">Policy S/CBC Cambridge Biomedical Campus (including Addenbrooke’s Hospital)  </w:t>
            </w:r>
          </w:p>
        </w:tc>
        <w:tc>
          <w:tcPr>
            <w:tcW w:w="11624" w:type="dxa"/>
          </w:tcPr>
          <w:p w14:paraId="2FF6635E" w14:textId="6DD1EBD6" w:rsidR="000A7FF4" w:rsidRPr="000A7FF4" w:rsidRDefault="00866AC8" w:rsidP="00A81648">
            <w:r>
              <w:t xml:space="preserve">CGC </w:t>
            </w:r>
            <w:r w:rsidR="00AD41BC">
              <w:t>supports</w:t>
            </w:r>
            <w:r w:rsidR="00630A28">
              <w:t xml:space="preserve">  this policy and the allocation for expansion through release of land from the Green Belt for future phases to support the future development of the Biomedical Campus.  </w:t>
            </w:r>
            <w:r w:rsidR="006F37A9">
              <w:t>It is also s</w:t>
            </w:r>
            <w:r w:rsidR="00630A28">
              <w:t>upportive of the recognition of the campus as being a globally significant centre for healthcare, research and innovation</w:t>
            </w:r>
            <w:r w:rsidR="077F2E2E">
              <w:t xml:space="preserve">. The strategic importance of CBC </w:t>
            </w:r>
            <w:r w:rsidR="00643F6E">
              <w:t>has been</w:t>
            </w:r>
            <w:r w:rsidR="008D1DCB">
              <w:t xml:space="preserve"> stated in</w:t>
            </w:r>
            <w:r w:rsidR="00642B2F">
              <w:t xml:space="preserve"> </w:t>
            </w:r>
            <w:r w:rsidR="346C5BC3">
              <w:t>the Written Ministerial Statement 8</w:t>
            </w:r>
            <w:r w:rsidR="346C5BC3" w:rsidRPr="1776E591">
              <w:rPr>
                <w:vertAlign w:val="superscript"/>
              </w:rPr>
              <w:t>th</w:t>
            </w:r>
            <w:r w:rsidR="346C5BC3">
              <w:t xml:space="preserve"> May 2024</w:t>
            </w:r>
            <w:r w:rsidR="00A81648">
              <w:t>,</w:t>
            </w:r>
            <w:r w:rsidR="000A7FF4" w:rsidRPr="000A7FF4">
              <w:t xml:space="preserve"> including </w:t>
            </w:r>
            <w:r w:rsidR="00643F6E">
              <w:t xml:space="preserve"> support for </w:t>
            </w:r>
            <w:r w:rsidR="000A7FF4" w:rsidRPr="000A7FF4">
              <w:t>the accelerated delivery of any associated housing development and the provision of appropriate levels of affordable housing to meet the housing needs of those working at the campus</w:t>
            </w:r>
            <w:r w:rsidR="00643F6E">
              <w:t>.</w:t>
            </w:r>
          </w:p>
          <w:p w14:paraId="1A0DBD62" w14:textId="29516A6D" w:rsidR="00EF1546" w:rsidRDefault="00630A28" w:rsidP="00EF1546">
            <w:r>
              <w:t xml:space="preserve"> </w:t>
            </w:r>
          </w:p>
          <w:p w14:paraId="18CD7AAE" w14:textId="77777777" w:rsidR="00EF1546" w:rsidRDefault="00EF1546" w:rsidP="00EF1546"/>
          <w:p w14:paraId="1A139916" w14:textId="4E93D7E0" w:rsidR="00EF1546" w:rsidRDefault="00EF1546" w:rsidP="00EF1546">
            <w:r>
              <w:t xml:space="preserve">CGC recommends that  further consideration is given to the boundary of this allocation  in relation to the proposed access. The access  as shown on the Spatial Framework plan figure 63 appears not to be deliverable  due to the consented scheme to the north of </w:t>
            </w:r>
            <w:proofErr w:type="spellStart"/>
            <w:r>
              <w:t>Babraham</w:t>
            </w:r>
            <w:proofErr w:type="spellEnd"/>
            <w:r>
              <w:t xml:space="preserve"> Road. Therefore an alternative redline for the proposal allocation should be considered to allow for alternative access arrangements.</w:t>
            </w:r>
          </w:p>
          <w:p w14:paraId="767950EF" w14:textId="7CE49331" w:rsidR="00630A28" w:rsidRPr="00D92141" w:rsidRDefault="00630A28" w:rsidP="00630A28"/>
        </w:tc>
      </w:tr>
      <w:tr w:rsidR="00630A28" w:rsidRPr="00892AAE" w14:paraId="0EDA2567" w14:textId="77777777" w:rsidTr="1776E591">
        <w:tc>
          <w:tcPr>
            <w:tcW w:w="2217" w:type="dxa"/>
          </w:tcPr>
          <w:p w14:paraId="1415249C" w14:textId="77777777" w:rsidR="00630A28" w:rsidRDefault="00630A28" w:rsidP="00630A28"/>
        </w:tc>
        <w:tc>
          <w:tcPr>
            <w:tcW w:w="11624" w:type="dxa"/>
          </w:tcPr>
          <w:p w14:paraId="0A2A2BAC" w14:textId="1FEEC67C" w:rsidR="00B13272" w:rsidRPr="00D92141" w:rsidRDefault="00B13272" w:rsidP="00EF1546"/>
        </w:tc>
      </w:tr>
      <w:tr w:rsidR="00114495" w:rsidRPr="00892AAE" w14:paraId="3D9812A8" w14:textId="77777777" w:rsidTr="1776E591">
        <w:tc>
          <w:tcPr>
            <w:tcW w:w="2217" w:type="dxa"/>
          </w:tcPr>
          <w:p w14:paraId="0888786E" w14:textId="795D4F3E" w:rsidR="00114495" w:rsidRPr="00146A37" w:rsidRDefault="00114495" w:rsidP="00114495">
            <w:pPr>
              <w:rPr>
                <w:b/>
                <w:bCs/>
              </w:rPr>
            </w:pPr>
            <w:r w:rsidRPr="00146A37">
              <w:rPr>
                <w:b/>
                <w:bCs/>
              </w:rPr>
              <w:t>Policies H/BR Build to rent</w:t>
            </w:r>
          </w:p>
        </w:tc>
        <w:tc>
          <w:tcPr>
            <w:tcW w:w="11624" w:type="dxa"/>
          </w:tcPr>
          <w:p w14:paraId="7680C57C" w14:textId="07664A81" w:rsidR="00114495" w:rsidRPr="00712AF9" w:rsidRDefault="00870D68" w:rsidP="001E39B7">
            <w:pPr>
              <w:pStyle w:val="BodyText"/>
              <w:widowControl w:val="0"/>
              <w:rPr>
                <w:rFonts w:asciiTheme="minorHAnsi" w:hAnsiTheme="minorHAnsi"/>
                <w:sz w:val="22"/>
                <w:szCs w:val="22"/>
              </w:rPr>
            </w:pPr>
            <w:r w:rsidRPr="00146A37">
              <w:rPr>
                <w:rFonts w:asciiTheme="minorHAnsi" w:eastAsiaTheme="majorEastAsia" w:hAnsiTheme="minorHAnsi" w:cs="Calibri"/>
                <w:sz w:val="22"/>
                <w:szCs w:val="22"/>
              </w:rPr>
              <w:t>This policy is supported by CG</w:t>
            </w:r>
            <w:r w:rsidR="001A5BAA" w:rsidRPr="00146A37">
              <w:rPr>
                <w:rFonts w:asciiTheme="minorHAnsi" w:hAnsiTheme="minorHAnsi" w:cs="Calibri"/>
                <w:sz w:val="22"/>
                <w:szCs w:val="22"/>
              </w:rPr>
              <w:t>C</w:t>
            </w:r>
            <w:r w:rsidR="001A5BAA" w:rsidRPr="00146A37">
              <w:rPr>
                <w:rFonts w:asciiTheme="minorHAnsi" w:hAnsiTheme="minorHAnsi"/>
                <w:sz w:val="22"/>
                <w:szCs w:val="22"/>
              </w:rPr>
              <w:t xml:space="preserve"> but </w:t>
            </w:r>
            <w:r w:rsidR="003B5586" w:rsidRPr="006F5C5A">
              <w:rPr>
                <w:rFonts w:asciiTheme="minorHAnsi" w:hAnsiTheme="minorHAnsi"/>
                <w:sz w:val="22"/>
                <w:szCs w:val="22"/>
              </w:rPr>
              <w:t xml:space="preserve">it recommends that </w:t>
            </w:r>
            <w:r w:rsidR="003B5586" w:rsidRPr="00DB0A7C">
              <w:rPr>
                <w:rFonts w:asciiTheme="minorHAnsi" w:eastAsiaTheme="minorHAnsi" w:hAnsiTheme="minorHAnsi" w:cstheme="minorBidi"/>
                <w:kern w:val="2"/>
                <w:sz w:val="22"/>
                <w:szCs w:val="22"/>
                <w14:ligatures w14:val="standardContextual"/>
              </w:rPr>
              <w:t>t</w:t>
            </w:r>
            <w:r w:rsidR="00114495" w:rsidRPr="00DB0A7C">
              <w:rPr>
                <w:rFonts w:asciiTheme="minorHAnsi" w:eastAsiaTheme="minorHAnsi" w:hAnsiTheme="minorHAnsi" w:cstheme="minorBidi"/>
                <w:kern w:val="2"/>
                <w:sz w:val="22"/>
                <w:szCs w:val="22"/>
                <w14:ligatures w14:val="standardContextual"/>
              </w:rPr>
              <w:t xml:space="preserve">he </w:t>
            </w:r>
            <w:r w:rsidR="003B5586" w:rsidRPr="00DB0A7C">
              <w:rPr>
                <w:rFonts w:asciiTheme="minorHAnsi" w:eastAsiaTheme="minorHAnsi" w:hAnsiTheme="minorHAnsi" w:cstheme="minorBidi"/>
                <w:kern w:val="2"/>
                <w:sz w:val="22"/>
                <w:szCs w:val="22"/>
                <w14:ligatures w14:val="standardContextual"/>
              </w:rPr>
              <w:t xml:space="preserve">overall </w:t>
            </w:r>
            <w:r w:rsidR="00114495" w:rsidRPr="00DB0A7C">
              <w:rPr>
                <w:rFonts w:asciiTheme="minorHAnsi" w:eastAsiaTheme="minorHAnsi" w:hAnsiTheme="minorHAnsi" w:cstheme="minorBidi"/>
                <w:kern w:val="2"/>
                <w:sz w:val="22"/>
                <w:szCs w:val="22"/>
                <w14:ligatures w14:val="standardContextual"/>
              </w:rPr>
              <w:t xml:space="preserve">approach </w:t>
            </w:r>
            <w:r w:rsidR="009E1D7D" w:rsidRPr="00DB0A7C">
              <w:rPr>
                <w:rFonts w:asciiTheme="minorHAnsi" w:eastAsiaTheme="minorHAnsi" w:hAnsiTheme="minorHAnsi" w:cstheme="minorBidi"/>
                <w:kern w:val="2"/>
                <w:sz w:val="22"/>
                <w:szCs w:val="22"/>
                <w14:ligatures w14:val="standardContextual"/>
              </w:rPr>
              <w:t>to BTR sh</w:t>
            </w:r>
            <w:r w:rsidR="00114495" w:rsidRPr="00DB0A7C">
              <w:rPr>
                <w:rFonts w:asciiTheme="minorHAnsi" w:eastAsiaTheme="minorHAnsi" w:hAnsiTheme="minorHAnsi" w:cstheme="minorBidi"/>
                <w:kern w:val="2"/>
                <w:sz w:val="22"/>
                <w:szCs w:val="22"/>
                <w14:ligatures w14:val="standardContextual"/>
              </w:rPr>
              <w:t xml:space="preserve">ould be strengthened in relation to allocations for strategic sites and </w:t>
            </w:r>
            <w:r w:rsidR="009E1D7D" w:rsidRPr="00DB0A7C">
              <w:rPr>
                <w:rFonts w:asciiTheme="minorHAnsi" w:eastAsiaTheme="minorHAnsi" w:hAnsiTheme="minorHAnsi" w:cstheme="minorBidi"/>
                <w:kern w:val="2"/>
                <w:sz w:val="22"/>
                <w:szCs w:val="22"/>
                <w14:ligatures w14:val="standardContextual"/>
              </w:rPr>
              <w:t xml:space="preserve">in relation to </w:t>
            </w:r>
            <w:r w:rsidR="00114495" w:rsidRPr="00DB0A7C">
              <w:rPr>
                <w:rFonts w:asciiTheme="minorHAnsi" w:eastAsiaTheme="minorHAnsi" w:hAnsiTheme="minorHAnsi" w:cstheme="minorBidi"/>
                <w:kern w:val="2"/>
                <w:sz w:val="22"/>
                <w:szCs w:val="22"/>
                <w14:ligatures w14:val="standardContextual"/>
              </w:rPr>
              <w:t xml:space="preserve"> promot</w:t>
            </w:r>
            <w:r w:rsidR="009E1D7D" w:rsidRPr="00DB0A7C">
              <w:rPr>
                <w:rFonts w:asciiTheme="minorHAnsi" w:eastAsiaTheme="minorHAnsi" w:hAnsiTheme="minorHAnsi" w:cstheme="minorBidi"/>
                <w:kern w:val="2"/>
                <w:sz w:val="22"/>
                <w:szCs w:val="22"/>
                <w14:ligatures w14:val="standardContextual"/>
              </w:rPr>
              <w:t>ing</w:t>
            </w:r>
            <w:r w:rsidR="00114495" w:rsidRPr="00DB0A7C">
              <w:rPr>
                <w:rFonts w:asciiTheme="minorHAnsi" w:eastAsiaTheme="minorHAnsi" w:hAnsiTheme="minorHAnsi" w:cstheme="minorBidi"/>
                <w:kern w:val="2"/>
                <w:sz w:val="22"/>
                <w:szCs w:val="22"/>
                <w14:ligatures w14:val="standardContextual"/>
              </w:rPr>
              <w:t xml:space="preserve"> BTR in accessible locations and close to key employment centres such as</w:t>
            </w:r>
            <w:r w:rsidR="001E39B7" w:rsidRPr="00DB0A7C">
              <w:rPr>
                <w:rFonts w:asciiTheme="minorHAnsi" w:eastAsiaTheme="minorHAnsi" w:hAnsiTheme="minorHAnsi" w:cstheme="minorBidi"/>
                <w:kern w:val="2"/>
                <w:sz w:val="22"/>
                <w:szCs w:val="22"/>
                <w14:ligatures w14:val="standardContextual"/>
              </w:rPr>
              <w:t xml:space="preserve"> </w:t>
            </w:r>
            <w:r w:rsidR="00114495" w:rsidRPr="00DB0A7C">
              <w:rPr>
                <w:rFonts w:asciiTheme="minorHAnsi" w:eastAsiaTheme="minorHAnsi" w:hAnsiTheme="minorHAnsi" w:cstheme="minorBidi"/>
                <w:kern w:val="2"/>
                <w:sz w:val="22"/>
                <w:szCs w:val="22"/>
                <w14:ligatures w14:val="standardContextual"/>
              </w:rPr>
              <w:t xml:space="preserve">CBC. </w:t>
            </w:r>
          </w:p>
        </w:tc>
      </w:tr>
    </w:tbl>
    <w:p w14:paraId="496E8142" w14:textId="77777777" w:rsidR="00F63A00" w:rsidRPr="00F63A00" w:rsidRDefault="00F63A00" w:rsidP="00A03E39">
      <w:pPr>
        <w:rPr>
          <w:b/>
          <w:bCs/>
        </w:rPr>
      </w:pPr>
    </w:p>
    <w:sectPr w:rsidR="00F63A00" w:rsidRPr="00F63A00" w:rsidSect="00F63A00">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8C78E" w14:textId="77777777" w:rsidR="003A69BF" w:rsidRDefault="003A69BF" w:rsidP="008D5CB3">
      <w:pPr>
        <w:spacing w:after="0" w:line="240" w:lineRule="auto"/>
      </w:pPr>
      <w:r>
        <w:separator/>
      </w:r>
    </w:p>
  </w:endnote>
  <w:endnote w:type="continuationSeparator" w:id="0">
    <w:p w14:paraId="2F6B36FD" w14:textId="77777777" w:rsidR="003A69BF" w:rsidRDefault="003A69BF" w:rsidP="008D5CB3">
      <w:pPr>
        <w:spacing w:after="0" w:line="240" w:lineRule="auto"/>
      </w:pPr>
      <w:r>
        <w:continuationSeparator/>
      </w:r>
    </w:p>
  </w:endnote>
  <w:endnote w:type="continuationNotice" w:id="1">
    <w:p w14:paraId="3F87FF8E" w14:textId="77777777" w:rsidR="007517E9" w:rsidRDefault="007517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0E921" w14:textId="6697EBBE" w:rsidR="008D5CB3" w:rsidRDefault="00323506">
    <w:pPr>
      <w:pStyle w:val="Footer"/>
    </w:pPr>
    <w:r>
      <w:rPr>
        <w:noProof/>
      </w:rPr>
      <mc:AlternateContent>
        <mc:Choice Requires="wps">
          <w:drawing>
            <wp:anchor distT="0" distB="0" distL="114300" distR="114300" simplePos="0" relativeHeight="251658241" behindDoc="0" locked="0" layoutInCell="0" allowOverlap="1" wp14:anchorId="4D2232CF" wp14:editId="68AD9772">
              <wp:simplePos x="0" y="0"/>
              <wp:positionH relativeFrom="page">
                <wp:posOffset>0</wp:posOffset>
              </wp:positionH>
              <wp:positionV relativeFrom="page">
                <wp:posOffset>7096125</wp:posOffset>
              </wp:positionV>
              <wp:extent cx="10692130" cy="273685"/>
              <wp:effectExtent l="0" t="0" r="4445" b="2540"/>
              <wp:wrapNone/>
              <wp:docPr id="1" name="MSIPCM0de34bed9d428d0aa148364c" descr="{&quot;HashCode&quot;:1862326720,&quot;Height&quot;:595.0,&quot;Width&quot;:841.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0D9AB" w14:textId="64FB4691" w:rsidR="00323506" w:rsidRPr="00323506" w:rsidRDefault="00323506" w:rsidP="00323506">
                          <w:pPr>
                            <w:spacing w:after="0"/>
                            <w:jc w:val="center"/>
                            <w:rPr>
                              <w:rFonts w:ascii="Calibri" w:hAnsi="Calibri" w:cs="Calibri"/>
                              <w:color w:val="000000"/>
                              <w:sz w:val="20"/>
                            </w:rPr>
                          </w:pPr>
                          <w:r w:rsidRPr="00323506">
                            <w:rPr>
                              <w:rFonts w:ascii="Calibri" w:hAnsi="Calibri" w:cs="Calibri"/>
                              <w:color w:val="000000"/>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232CF" id="_x0000_t202" coordsize="21600,21600" o:spt="202" path="m,l,21600r21600,l21600,xe">
              <v:stroke joinstyle="miter"/>
              <v:path gradientshapeok="t" o:connecttype="rect"/>
            </v:shapetype>
            <v:shape id="MSIPCM0de34bed9d428d0aa148364c" o:spid="_x0000_s1027" type="#_x0000_t202" alt="{&quot;HashCode&quot;:1862326720,&quot;Height&quot;:595.0,&quot;Width&quot;:841.0,&quot;Placement&quot;:&quot;Footer&quot;,&quot;Index&quot;:&quot;Primary&quot;,&quot;Section&quot;:1,&quot;Top&quot;:0.0,&quot;Left&quot;:0.0}" style="position:absolute;margin-left:0;margin-top:558.75pt;width:841.9pt;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" o:allowincell="f" filled="f" stroked="f">
              <v:textbox inset=",0,,0">
                <w:txbxContent>
                  <w:p w14:paraId="1990D9AB" w14:textId="64FB4691" w:rsidR="00323506" w:rsidRPr="00323506" w:rsidRDefault="00323506" w:rsidP="00323506">
                    <w:pPr>
                      <w:spacing w:after="0"/>
                      <w:jc w:val="center"/>
                      <w:rPr>
                        <w:rFonts w:ascii="Calibri" w:hAnsi="Calibri" w:cs="Calibri"/>
                        <w:color w:val="000000"/>
                        <w:sz w:val="20"/>
                      </w:rPr>
                    </w:pPr>
                    <w:r w:rsidRPr="00323506">
                      <w:rPr>
                        <w:rFonts w:ascii="Calibri" w:hAnsi="Calibri" w:cs="Calibri"/>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273FA" w14:textId="77777777" w:rsidR="003A69BF" w:rsidRDefault="003A69BF" w:rsidP="008D5CB3">
      <w:pPr>
        <w:spacing w:after="0" w:line="240" w:lineRule="auto"/>
      </w:pPr>
      <w:r>
        <w:separator/>
      </w:r>
    </w:p>
  </w:footnote>
  <w:footnote w:type="continuationSeparator" w:id="0">
    <w:p w14:paraId="541E5ECA" w14:textId="77777777" w:rsidR="003A69BF" w:rsidRDefault="003A69BF" w:rsidP="008D5CB3">
      <w:pPr>
        <w:spacing w:after="0" w:line="240" w:lineRule="auto"/>
      </w:pPr>
      <w:r>
        <w:continuationSeparator/>
      </w:r>
    </w:p>
  </w:footnote>
  <w:footnote w:type="continuationNotice" w:id="1">
    <w:p w14:paraId="78C540FD" w14:textId="77777777" w:rsidR="007517E9" w:rsidRDefault="007517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115F" w14:textId="3426C283" w:rsidR="008D5CB3" w:rsidRDefault="00323506">
    <w:pPr>
      <w:pStyle w:val="Header"/>
    </w:pPr>
    <w:r>
      <w:rPr>
        <w:noProof/>
      </w:rPr>
      <mc:AlternateContent>
        <mc:Choice Requires="wps">
          <w:drawing>
            <wp:anchor distT="0" distB="0" distL="114300" distR="114300" simplePos="0" relativeHeight="251658240" behindDoc="0" locked="0" layoutInCell="0" allowOverlap="1" wp14:anchorId="3FF359EB" wp14:editId="0818A2B6">
              <wp:simplePos x="0" y="0"/>
              <wp:positionH relativeFrom="page">
                <wp:posOffset>0</wp:posOffset>
              </wp:positionH>
              <wp:positionV relativeFrom="page">
                <wp:posOffset>190500</wp:posOffset>
              </wp:positionV>
              <wp:extent cx="10692130" cy="273685"/>
              <wp:effectExtent l="0" t="0" r="4445" b="2540"/>
              <wp:wrapNone/>
              <wp:docPr id="2" name="MSIPCM9dc548589db4806a23e70322" descr="{&quot;HashCode&quot;:1838189151,&quot;Height&quot;:595.0,&quot;Width&quot;:841.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458B5" w14:textId="661C0A8B" w:rsidR="00323506" w:rsidRPr="00323506" w:rsidRDefault="00323506" w:rsidP="00323506">
                          <w:pPr>
                            <w:spacing w:after="0"/>
                            <w:jc w:val="center"/>
                            <w:rPr>
                              <w:rFonts w:ascii="Calibri" w:hAnsi="Calibri" w:cs="Calibri"/>
                              <w:color w:val="000000"/>
                              <w:sz w:val="20"/>
                            </w:rPr>
                          </w:pPr>
                          <w:r w:rsidRPr="00323506">
                            <w:rPr>
                              <w:rFonts w:ascii="Calibri" w:hAnsi="Calibri" w:cs="Calibri"/>
                              <w:color w:val="000000"/>
                              <w:sz w:val="2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359EB" id="_x0000_t202" coordsize="21600,21600" o:spt="202" path="m,l,21600r21600,l21600,xe">
              <v:stroke joinstyle="miter"/>
              <v:path gradientshapeok="t" o:connecttype="rect"/>
            </v:shapetype>
            <v:shape id="MSIPCM9dc548589db4806a23e70322" o:spid="_x0000_s1026" type="#_x0000_t202" alt="{&quot;HashCode&quot;:1838189151,&quot;Height&quot;:595.0,&quot;Width&quot;:841.0,&quot;Placement&quot;:&quot;Header&quot;,&quot;Index&quot;:&quot;Primary&quot;,&quot;Section&quot;:1,&quot;Top&quot;:0.0,&quot;Left&quot;:0.0}" style="position:absolute;margin-left:0;margin-top:15pt;width:841.9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" o:allowincell="f" filled="f" stroked="f">
              <v:textbox inset=",0,,0">
                <w:txbxContent>
                  <w:p w14:paraId="509458B5" w14:textId="661C0A8B" w:rsidR="00323506" w:rsidRPr="00323506" w:rsidRDefault="00323506" w:rsidP="00323506">
                    <w:pPr>
                      <w:spacing w:after="0"/>
                      <w:jc w:val="center"/>
                      <w:rPr>
                        <w:rFonts w:ascii="Calibri" w:hAnsi="Calibri" w:cs="Calibri"/>
                        <w:color w:val="000000"/>
                        <w:sz w:val="20"/>
                      </w:rPr>
                    </w:pPr>
                    <w:r w:rsidRPr="00323506">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71D59"/>
    <w:multiLevelType w:val="hybridMultilevel"/>
    <w:tmpl w:val="560C85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B36FB1"/>
    <w:multiLevelType w:val="multilevel"/>
    <w:tmpl w:val="541633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992DEC"/>
    <w:multiLevelType w:val="hybridMultilevel"/>
    <w:tmpl w:val="7004B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4A4872"/>
    <w:multiLevelType w:val="hybridMultilevel"/>
    <w:tmpl w:val="1B86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7466E6"/>
    <w:multiLevelType w:val="hybridMultilevel"/>
    <w:tmpl w:val="AC2EF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866108"/>
    <w:multiLevelType w:val="hybridMultilevel"/>
    <w:tmpl w:val="C0F27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6438A5"/>
    <w:multiLevelType w:val="hybridMultilevel"/>
    <w:tmpl w:val="B468A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4E5462"/>
    <w:multiLevelType w:val="hybridMultilevel"/>
    <w:tmpl w:val="F3FA4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7A0597"/>
    <w:multiLevelType w:val="hybridMultilevel"/>
    <w:tmpl w:val="36386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F45737"/>
    <w:multiLevelType w:val="hybridMultilevel"/>
    <w:tmpl w:val="44D28CA4"/>
    <w:lvl w:ilvl="0" w:tplc="F5D6D8D4">
      <w:start w:val="1"/>
      <w:numFmt w:val="bullet"/>
      <w:lvlText w:val="•"/>
      <w:lvlJc w:val="left"/>
      <w:pPr>
        <w:tabs>
          <w:tab w:val="num" w:pos="720"/>
        </w:tabs>
        <w:ind w:left="720" w:hanging="360"/>
      </w:pPr>
      <w:rPr>
        <w:rFonts w:ascii="Arial" w:hAnsi="Arial" w:hint="default"/>
      </w:rPr>
    </w:lvl>
    <w:lvl w:ilvl="1" w:tplc="E902B714">
      <w:numFmt w:val="bullet"/>
      <w:lvlText w:val="o"/>
      <w:lvlJc w:val="left"/>
      <w:pPr>
        <w:tabs>
          <w:tab w:val="num" w:pos="1440"/>
        </w:tabs>
        <w:ind w:left="1440" w:hanging="360"/>
      </w:pPr>
      <w:rPr>
        <w:rFonts w:ascii="Courier New" w:hAnsi="Courier New" w:hint="default"/>
      </w:rPr>
    </w:lvl>
    <w:lvl w:ilvl="2" w:tplc="2CBEF528" w:tentative="1">
      <w:start w:val="1"/>
      <w:numFmt w:val="bullet"/>
      <w:lvlText w:val="•"/>
      <w:lvlJc w:val="left"/>
      <w:pPr>
        <w:tabs>
          <w:tab w:val="num" w:pos="2160"/>
        </w:tabs>
        <w:ind w:left="2160" w:hanging="360"/>
      </w:pPr>
      <w:rPr>
        <w:rFonts w:ascii="Arial" w:hAnsi="Arial" w:hint="default"/>
      </w:rPr>
    </w:lvl>
    <w:lvl w:ilvl="3" w:tplc="B086A960" w:tentative="1">
      <w:start w:val="1"/>
      <w:numFmt w:val="bullet"/>
      <w:lvlText w:val="•"/>
      <w:lvlJc w:val="left"/>
      <w:pPr>
        <w:tabs>
          <w:tab w:val="num" w:pos="2880"/>
        </w:tabs>
        <w:ind w:left="2880" w:hanging="360"/>
      </w:pPr>
      <w:rPr>
        <w:rFonts w:ascii="Arial" w:hAnsi="Arial" w:hint="default"/>
      </w:rPr>
    </w:lvl>
    <w:lvl w:ilvl="4" w:tplc="6EAAD6D0" w:tentative="1">
      <w:start w:val="1"/>
      <w:numFmt w:val="bullet"/>
      <w:lvlText w:val="•"/>
      <w:lvlJc w:val="left"/>
      <w:pPr>
        <w:tabs>
          <w:tab w:val="num" w:pos="3600"/>
        </w:tabs>
        <w:ind w:left="3600" w:hanging="360"/>
      </w:pPr>
      <w:rPr>
        <w:rFonts w:ascii="Arial" w:hAnsi="Arial" w:hint="default"/>
      </w:rPr>
    </w:lvl>
    <w:lvl w:ilvl="5" w:tplc="765C3010" w:tentative="1">
      <w:start w:val="1"/>
      <w:numFmt w:val="bullet"/>
      <w:lvlText w:val="•"/>
      <w:lvlJc w:val="left"/>
      <w:pPr>
        <w:tabs>
          <w:tab w:val="num" w:pos="4320"/>
        </w:tabs>
        <w:ind w:left="4320" w:hanging="360"/>
      </w:pPr>
      <w:rPr>
        <w:rFonts w:ascii="Arial" w:hAnsi="Arial" w:hint="default"/>
      </w:rPr>
    </w:lvl>
    <w:lvl w:ilvl="6" w:tplc="332A3592" w:tentative="1">
      <w:start w:val="1"/>
      <w:numFmt w:val="bullet"/>
      <w:lvlText w:val="•"/>
      <w:lvlJc w:val="left"/>
      <w:pPr>
        <w:tabs>
          <w:tab w:val="num" w:pos="5040"/>
        </w:tabs>
        <w:ind w:left="5040" w:hanging="360"/>
      </w:pPr>
      <w:rPr>
        <w:rFonts w:ascii="Arial" w:hAnsi="Arial" w:hint="default"/>
      </w:rPr>
    </w:lvl>
    <w:lvl w:ilvl="7" w:tplc="9712F29C" w:tentative="1">
      <w:start w:val="1"/>
      <w:numFmt w:val="bullet"/>
      <w:lvlText w:val="•"/>
      <w:lvlJc w:val="left"/>
      <w:pPr>
        <w:tabs>
          <w:tab w:val="num" w:pos="5760"/>
        </w:tabs>
        <w:ind w:left="5760" w:hanging="360"/>
      </w:pPr>
      <w:rPr>
        <w:rFonts w:ascii="Arial" w:hAnsi="Arial" w:hint="default"/>
      </w:rPr>
    </w:lvl>
    <w:lvl w:ilvl="8" w:tplc="D0783F3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7DD5135"/>
    <w:multiLevelType w:val="multilevel"/>
    <w:tmpl w:val="3FD2D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2F1753"/>
    <w:multiLevelType w:val="hybridMultilevel"/>
    <w:tmpl w:val="1A46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3971661">
    <w:abstractNumId w:val="11"/>
  </w:num>
  <w:num w:numId="2" w16cid:durableId="524367896">
    <w:abstractNumId w:val="4"/>
  </w:num>
  <w:num w:numId="3" w16cid:durableId="1338926070">
    <w:abstractNumId w:val="3"/>
  </w:num>
  <w:num w:numId="4" w16cid:durableId="639304362">
    <w:abstractNumId w:val="5"/>
  </w:num>
  <w:num w:numId="5" w16cid:durableId="1750687932">
    <w:abstractNumId w:val="8"/>
  </w:num>
  <w:num w:numId="6" w16cid:durableId="1711298936">
    <w:abstractNumId w:val="10"/>
  </w:num>
  <w:num w:numId="7" w16cid:durableId="1368412877">
    <w:abstractNumId w:val="7"/>
  </w:num>
  <w:num w:numId="8" w16cid:durableId="1411149612">
    <w:abstractNumId w:val="2"/>
  </w:num>
  <w:num w:numId="9" w16cid:durableId="1192843178">
    <w:abstractNumId w:val="1"/>
  </w:num>
  <w:num w:numId="10" w16cid:durableId="2122917267">
    <w:abstractNumId w:val="0"/>
  </w:num>
  <w:num w:numId="11" w16cid:durableId="1075783174">
    <w:abstractNumId w:val="9"/>
  </w:num>
  <w:num w:numId="12" w16cid:durableId="13862962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A00"/>
    <w:rsid w:val="00001063"/>
    <w:rsid w:val="00004D88"/>
    <w:rsid w:val="00006116"/>
    <w:rsid w:val="000105EB"/>
    <w:rsid w:val="00011449"/>
    <w:rsid w:val="0001153D"/>
    <w:rsid w:val="00011931"/>
    <w:rsid w:val="00012201"/>
    <w:rsid w:val="000227A7"/>
    <w:rsid w:val="00023D84"/>
    <w:rsid w:val="000326F7"/>
    <w:rsid w:val="000434FF"/>
    <w:rsid w:val="000446EB"/>
    <w:rsid w:val="000544E2"/>
    <w:rsid w:val="00062866"/>
    <w:rsid w:val="0006354C"/>
    <w:rsid w:val="000671AA"/>
    <w:rsid w:val="0007354C"/>
    <w:rsid w:val="00075460"/>
    <w:rsid w:val="00081F49"/>
    <w:rsid w:val="000832D0"/>
    <w:rsid w:val="00085072"/>
    <w:rsid w:val="00087C3D"/>
    <w:rsid w:val="000A0709"/>
    <w:rsid w:val="000A20CC"/>
    <w:rsid w:val="000A3392"/>
    <w:rsid w:val="000A50F0"/>
    <w:rsid w:val="000A74ED"/>
    <w:rsid w:val="000A7FF4"/>
    <w:rsid w:val="000B090F"/>
    <w:rsid w:val="000B39F4"/>
    <w:rsid w:val="000B4EFC"/>
    <w:rsid w:val="000B5B95"/>
    <w:rsid w:val="000C30E4"/>
    <w:rsid w:val="000E13D4"/>
    <w:rsid w:val="000E3E16"/>
    <w:rsid w:val="000E7FC3"/>
    <w:rsid w:val="000F19EB"/>
    <w:rsid w:val="000F2215"/>
    <w:rsid w:val="000F522A"/>
    <w:rsid w:val="0010227A"/>
    <w:rsid w:val="00105B01"/>
    <w:rsid w:val="0010660C"/>
    <w:rsid w:val="00114495"/>
    <w:rsid w:val="0011758B"/>
    <w:rsid w:val="00121EDC"/>
    <w:rsid w:val="00124BB7"/>
    <w:rsid w:val="0012637F"/>
    <w:rsid w:val="001301D1"/>
    <w:rsid w:val="001309CE"/>
    <w:rsid w:val="0013379F"/>
    <w:rsid w:val="0013413F"/>
    <w:rsid w:val="00135C3F"/>
    <w:rsid w:val="001364C0"/>
    <w:rsid w:val="001375E6"/>
    <w:rsid w:val="00140356"/>
    <w:rsid w:val="001406B5"/>
    <w:rsid w:val="00141E1C"/>
    <w:rsid w:val="001451A3"/>
    <w:rsid w:val="00146A37"/>
    <w:rsid w:val="00155767"/>
    <w:rsid w:val="00156E08"/>
    <w:rsid w:val="00167685"/>
    <w:rsid w:val="001758C2"/>
    <w:rsid w:val="00177DDF"/>
    <w:rsid w:val="00185EF0"/>
    <w:rsid w:val="00186532"/>
    <w:rsid w:val="00187EC6"/>
    <w:rsid w:val="00191FEB"/>
    <w:rsid w:val="00192FD6"/>
    <w:rsid w:val="00195410"/>
    <w:rsid w:val="00195969"/>
    <w:rsid w:val="001A0A94"/>
    <w:rsid w:val="001A19CA"/>
    <w:rsid w:val="001A3FAF"/>
    <w:rsid w:val="001A5BAA"/>
    <w:rsid w:val="001B18A7"/>
    <w:rsid w:val="001C1B5A"/>
    <w:rsid w:val="001C7263"/>
    <w:rsid w:val="001D0E53"/>
    <w:rsid w:val="001D50C0"/>
    <w:rsid w:val="001E0BB4"/>
    <w:rsid w:val="001E214B"/>
    <w:rsid w:val="001E38FD"/>
    <w:rsid w:val="001E39B7"/>
    <w:rsid w:val="001E5D66"/>
    <w:rsid w:val="001F1FBB"/>
    <w:rsid w:val="001F2B41"/>
    <w:rsid w:val="001F5F19"/>
    <w:rsid w:val="0020210B"/>
    <w:rsid w:val="0020531D"/>
    <w:rsid w:val="00207CD9"/>
    <w:rsid w:val="00211B18"/>
    <w:rsid w:val="0021368C"/>
    <w:rsid w:val="0022088E"/>
    <w:rsid w:val="00222AA1"/>
    <w:rsid w:val="0022500F"/>
    <w:rsid w:val="002262B2"/>
    <w:rsid w:val="0023143B"/>
    <w:rsid w:val="00246987"/>
    <w:rsid w:val="002520B1"/>
    <w:rsid w:val="00270819"/>
    <w:rsid w:val="00271AEE"/>
    <w:rsid w:val="002741AF"/>
    <w:rsid w:val="0028098F"/>
    <w:rsid w:val="00281075"/>
    <w:rsid w:val="00285D86"/>
    <w:rsid w:val="00291113"/>
    <w:rsid w:val="002A3B75"/>
    <w:rsid w:val="002A53E4"/>
    <w:rsid w:val="002B3BC7"/>
    <w:rsid w:val="002B5E0B"/>
    <w:rsid w:val="002B611C"/>
    <w:rsid w:val="002B6467"/>
    <w:rsid w:val="002B7378"/>
    <w:rsid w:val="002B75FD"/>
    <w:rsid w:val="002B7CDD"/>
    <w:rsid w:val="002C0407"/>
    <w:rsid w:val="002C09DE"/>
    <w:rsid w:val="002C09EB"/>
    <w:rsid w:val="002C6008"/>
    <w:rsid w:val="002D1AFC"/>
    <w:rsid w:val="002E3313"/>
    <w:rsid w:val="002E397D"/>
    <w:rsid w:val="002E4F56"/>
    <w:rsid w:val="002E5F0D"/>
    <w:rsid w:val="002E7972"/>
    <w:rsid w:val="002F3B30"/>
    <w:rsid w:val="00303158"/>
    <w:rsid w:val="0031213C"/>
    <w:rsid w:val="00315C18"/>
    <w:rsid w:val="00323506"/>
    <w:rsid w:val="0032425A"/>
    <w:rsid w:val="00324A9F"/>
    <w:rsid w:val="00326264"/>
    <w:rsid w:val="00332711"/>
    <w:rsid w:val="003338D6"/>
    <w:rsid w:val="00333F64"/>
    <w:rsid w:val="00336547"/>
    <w:rsid w:val="003500E9"/>
    <w:rsid w:val="00352E3B"/>
    <w:rsid w:val="003659BD"/>
    <w:rsid w:val="003723B3"/>
    <w:rsid w:val="003747B9"/>
    <w:rsid w:val="003778E3"/>
    <w:rsid w:val="003855B1"/>
    <w:rsid w:val="0038781F"/>
    <w:rsid w:val="00392F9D"/>
    <w:rsid w:val="003953C2"/>
    <w:rsid w:val="003A5CCB"/>
    <w:rsid w:val="003A606C"/>
    <w:rsid w:val="003A69BF"/>
    <w:rsid w:val="003B1282"/>
    <w:rsid w:val="003B16AE"/>
    <w:rsid w:val="003B330E"/>
    <w:rsid w:val="003B3582"/>
    <w:rsid w:val="003B5586"/>
    <w:rsid w:val="003B5818"/>
    <w:rsid w:val="003B6038"/>
    <w:rsid w:val="003D0501"/>
    <w:rsid w:val="003D06D1"/>
    <w:rsid w:val="003E3281"/>
    <w:rsid w:val="003F238B"/>
    <w:rsid w:val="003F3D7F"/>
    <w:rsid w:val="003F78C4"/>
    <w:rsid w:val="003F7948"/>
    <w:rsid w:val="003F798C"/>
    <w:rsid w:val="00403F18"/>
    <w:rsid w:val="004127BA"/>
    <w:rsid w:val="00412D05"/>
    <w:rsid w:val="004149A8"/>
    <w:rsid w:val="004200C4"/>
    <w:rsid w:val="004221A3"/>
    <w:rsid w:val="00431306"/>
    <w:rsid w:val="00432386"/>
    <w:rsid w:val="004324D2"/>
    <w:rsid w:val="00437649"/>
    <w:rsid w:val="00440F74"/>
    <w:rsid w:val="00450B9E"/>
    <w:rsid w:val="00453848"/>
    <w:rsid w:val="00453F55"/>
    <w:rsid w:val="004622E8"/>
    <w:rsid w:val="00462474"/>
    <w:rsid w:val="004641D2"/>
    <w:rsid w:val="004856DD"/>
    <w:rsid w:val="00485A30"/>
    <w:rsid w:val="00485C31"/>
    <w:rsid w:val="004967EA"/>
    <w:rsid w:val="004A5AD7"/>
    <w:rsid w:val="004B10AA"/>
    <w:rsid w:val="004B24F2"/>
    <w:rsid w:val="004B6375"/>
    <w:rsid w:val="004B6404"/>
    <w:rsid w:val="004B7F31"/>
    <w:rsid w:val="004C4D16"/>
    <w:rsid w:val="004D58D3"/>
    <w:rsid w:val="004E3D0C"/>
    <w:rsid w:val="004E4370"/>
    <w:rsid w:val="004E4CEF"/>
    <w:rsid w:val="004E62D6"/>
    <w:rsid w:val="004F348D"/>
    <w:rsid w:val="004F40EC"/>
    <w:rsid w:val="004F4E25"/>
    <w:rsid w:val="0050011B"/>
    <w:rsid w:val="0050267F"/>
    <w:rsid w:val="00515326"/>
    <w:rsid w:val="00522529"/>
    <w:rsid w:val="0052353C"/>
    <w:rsid w:val="005245F5"/>
    <w:rsid w:val="00525632"/>
    <w:rsid w:val="005269FF"/>
    <w:rsid w:val="005274A6"/>
    <w:rsid w:val="0053280B"/>
    <w:rsid w:val="00540A05"/>
    <w:rsid w:val="00541BF7"/>
    <w:rsid w:val="00541F47"/>
    <w:rsid w:val="005463BF"/>
    <w:rsid w:val="00546E65"/>
    <w:rsid w:val="00551274"/>
    <w:rsid w:val="00554DD5"/>
    <w:rsid w:val="00554EE0"/>
    <w:rsid w:val="00557111"/>
    <w:rsid w:val="0056043C"/>
    <w:rsid w:val="00560463"/>
    <w:rsid w:val="00560C23"/>
    <w:rsid w:val="00563FF7"/>
    <w:rsid w:val="00564F8F"/>
    <w:rsid w:val="00566550"/>
    <w:rsid w:val="0057164C"/>
    <w:rsid w:val="00575FD6"/>
    <w:rsid w:val="005845AE"/>
    <w:rsid w:val="00587E71"/>
    <w:rsid w:val="005900B8"/>
    <w:rsid w:val="00597425"/>
    <w:rsid w:val="005A3E52"/>
    <w:rsid w:val="005B3D01"/>
    <w:rsid w:val="005C01DF"/>
    <w:rsid w:val="005C0642"/>
    <w:rsid w:val="005C328A"/>
    <w:rsid w:val="005C4602"/>
    <w:rsid w:val="005C475D"/>
    <w:rsid w:val="005C570C"/>
    <w:rsid w:val="005C597E"/>
    <w:rsid w:val="005D0738"/>
    <w:rsid w:val="005D1E67"/>
    <w:rsid w:val="005D3F5A"/>
    <w:rsid w:val="005D5377"/>
    <w:rsid w:val="005D6005"/>
    <w:rsid w:val="005D64CB"/>
    <w:rsid w:val="005E0046"/>
    <w:rsid w:val="005E27BE"/>
    <w:rsid w:val="005E2FB1"/>
    <w:rsid w:val="005E7698"/>
    <w:rsid w:val="005F0358"/>
    <w:rsid w:val="005F2F4B"/>
    <w:rsid w:val="005F3A08"/>
    <w:rsid w:val="005F3D3D"/>
    <w:rsid w:val="005F6AA9"/>
    <w:rsid w:val="005F7C87"/>
    <w:rsid w:val="005F7D96"/>
    <w:rsid w:val="006001AA"/>
    <w:rsid w:val="00602D5A"/>
    <w:rsid w:val="0060356B"/>
    <w:rsid w:val="006118AC"/>
    <w:rsid w:val="006151DE"/>
    <w:rsid w:val="006176BF"/>
    <w:rsid w:val="00621244"/>
    <w:rsid w:val="00622C75"/>
    <w:rsid w:val="006244E2"/>
    <w:rsid w:val="00627CF7"/>
    <w:rsid w:val="00630A28"/>
    <w:rsid w:val="00631460"/>
    <w:rsid w:val="00632540"/>
    <w:rsid w:val="00633854"/>
    <w:rsid w:val="00641679"/>
    <w:rsid w:val="00642B2F"/>
    <w:rsid w:val="00642F56"/>
    <w:rsid w:val="00643F6E"/>
    <w:rsid w:val="006457E4"/>
    <w:rsid w:val="006461FF"/>
    <w:rsid w:val="006565BE"/>
    <w:rsid w:val="00660A82"/>
    <w:rsid w:val="00660E72"/>
    <w:rsid w:val="0066117B"/>
    <w:rsid w:val="00661BD5"/>
    <w:rsid w:val="00670C22"/>
    <w:rsid w:val="00677476"/>
    <w:rsid w:val="0068411B"/>
    <w:rsid w:val="006873C3"/>
    <w:rsid w:val="00691576"/>
    <w:rsid w:val="006976CC"/>
    <w:rsid w:val="006A0361"/>
    <w:rsid w:val="006A3638"/>
    <w:rsid w:val="006B0A2A"/>
    <w:rsid w:val="006B6F8A"/>
    <w:rsid w:val="006C0517"/>
    <w:rsid w:val="006C25AA"/>
    <w:rsid w:val="006C3E1B"/>
    <w:rsid w:val="006E3336"/>
    <w:rsid w:val="006F1DCD"/>
    <w:rsid w:val="006F37A9"/>
    <w:rsid w:val="006F5C5A"/>
    <w:rsid w:val="006F651F"/>
    <w:rsid w:val="006F6E85"/>
    <w:rsid w:val="006F7AAE"/>
    <w:rsid w:val="00700176"/>
    <w:rsid w:val="0070219F"/>
    <w:rsid w:val="00704512"/>
    <w:rsid w:val="00706B3A"/>
    <w:rsid w:val="00712AF9"/>
    <w:rsid w:val="00716FA4"/>
    <w:rsid w:val="00722709"/>
    <w:rsid w:val="00725E48"/>
    <w:rsid w:val="00725ECA"/>
    <w:rsid w:val="0073131D"/>
    <w:rsid w:val="007360EB"/>
    <w:rsid w:val="0073742B"/>
    <w:rsid w:val="00741248"/>
    <w:rsid w:val="00743A3B"/>
    <w:rsid w:val="007517E9"/>
    <w:rsid w:val="0076428F"/>
    <w:rsid w:val="00764905"/>
    <w:rsid w:val="00770DA2"/>
    <w:rsid w:val="007917C8"/>
    <w:rsid w:val="007953A7"/>
    <w:rsid w:val="0079657F"/>
    <w:rsid w:val="007A2CF0"/>
    <w:rsid w:val="007A48AF"/>
    <w:rsid w:val="007A4B12"/>
    <w:rsid w:val="007A4FC8"/>
    <w:rsid w:val="007A7E93"/>
    <w:rsid w:val="007B54CB"/>
    <w:rsid w:val="007B73AE"/>
    <w:rsid w:val="007E2AB4"/>
    <w:rsid w:val="007F063F"/>
    <w:rsid w:val="007F0AD2"/>
    <w:rsid w:val="00800779"/>
    <w:rsid w:val="0080176A"/>
    <w:rsid w:val="00804C80"/>
    <w:rsid w:val="008104B7"/>
    <w:rsid w:val="00812F71"/>
    <w:rsid w:val="00815B4F"/>
    <w:rsid w:val="0081643C"/>
    <w:rsid w:val="00820581"/>
    <w:rsid w:val="0083522C"/>
    <w:rsid w:val="00836B33"/>
    <w:rsid w:val="00852264"/>
    <w:rsid w:val="0085335B"/>
    <w:rsid w:val="008571A4"/>
    <w:rsid w:val="0086181D"/>
    <w:rsid w:val="008623E4"/>
    <w:rsid w:val="008627DA"/>
    <w:rsid w:val="008634B8"/>
    <w:rsid w:val="008657A6"/>
    <w:rsid w:val="00866AC8"/>
    <w:rsid w:val="00870D68"/>
    <w:rsid w:val="008738D1"/>
    <w:rsid w:val="0087403E"/>
    <w:rsid w:val="008747C8"/>
    <w:rsid w:val="00882DDE"/>
    <w:rsid w:val="00883E3C"/>
    <w:rsid w:val="008854D5"/>
    <w:rsid w:val="008917B1"/>
    <w:rsid w:val="00892AAE"/>
    <w:rsid w:val="00894F4A"/>
    <w:rsid w:val="008958D7"/>
    <w:rsid w:val="008A0248"/>
    <w:rsid w:val="008A310F"/>
    <w:rsid w:val="008A4454"/>
    <w:rsid w:val="008B06B5"/>
    <w:rsid w:val="008B1AD5"/>
    <w:rsid w:val="008C4179"/>
    <w:rsid w:val="008C53AE"/>
    <w:rsid w:val="008D1685"/>
    <w:rsid w:val="008D1DCB"/>
    <w:rsid w:val="008D52BC"/>
    <w:rsid w:val="008D5CB3"/>
    <w:rsid w:val="008D6DC0"/>
    <w:rsid w:val="008D7680"/>
    <w:rsid w:val="008D7A55"/>
    <w:rsid w:val="008E7E20"/>
    <w:rsid w:val="008F2E21"/>
    <w:rsid w:val="008F51D7"/>
    <w:rsid w:val="008F6F16"/>
    <w:rsid w:val="009059D5"/>
    <w:rsid w:val="00905F36"/>
    <w:rsid w:val="009206C6"/>
    <w:rsid w:val="00921407"/>
    <w:rsid w:val="00921F79"/>
    <w:rsid w:val="009240F4"/>
    <w:rsid w:val="00925C75"/>
    <w:rsid w:val="0093074D"/>
    <w:rsid w:val="00931161"/>
    <w:rsid w:val="009343D5"/>
    <w:rsid w:val="009347FC"/>
    <w:rsid w:val="009422AE"/>
    <w:rsid w:val="00942D29"/>
    <w:rsid w:val="00942F34"/>
    <w:rsid w:val="00945C1E"/>
    <w:rsid w:val="00946B1C"/>
    <w:rsid w:val="00947FC0"/>
    <w:rsid w:val="00957FA4"/>
    <w:rsid w:val="00965747"/>
    <w:rsid w:val="009657CE"/>
    <w:rsid w:val="00966326"/>
    <w:rsid w:val="00971781"/>
    <w:rsid w:val="009721CD"/>
    <w:rsid w:val="00972A0D"/>
    <w:rsid w:val="00974B88"/>
    <w:rsid w:val="0097551B"/>
    <w:rsid w:val="00982F6D"/>
    <w:rsid w:val="00983425"/>
    <w:rsid w:val="009839A8"/>
    <w:rsid w:val="00986631"/>
    <w:rsid w:val="00992FF7"/>
    <w:rsid w:val="00996E65"/>
    <w:rsid w:val="00997A2C"/>
    <w:rsid w:val="009A6E2D"/>
    <w:rsid w:val="009B5DE0"/>
    <w:rsid w:val="009C0932"/>
    <w:rsid w:val="009C1E19"/>
    <w:rsid w:val="009C390D"/>
    <w:rsid w:val="009C78AA"/>
    <w:rsid w:val="009D3B01"/>
    <w:rsid w:val="009D599D"/>
    <w:rsid w:val="009E03B4"/>
    <w:rsid w:val="009E1D7D"/>
    <w:rsid w:val="009E382E"/>
    <w:rsid w:val="009E661B"/>
    <w:rsid w:val="009F1591"/>
    <w:rsid w:val="009F4573"/>
    <w:rsid w:val="009F6C2C"/>
    <w:rsid w:val="00A03E39"/>
    <w:rsid w:val="00A0707F"/>
    <w:rsid w:val="00A116CA"/>
    <w:rsid w:val="00A14C79"/>
    <w:rsid w:val="00A14DCA"/>
    <w:rsid w:val="00A15DF2"/>
    <w:rsid w:val="00A21B7D"/>
    <w:rsid w:val="00A22CD1"/>
    <w:rsid w:val="00A237F9"/>
    <w:rsid w:val="00A31E70"/>
    <w:rsid w:val="00A31FD8"/>
    <w:rsid w:val="00A3464E"/>
    <w:rsid w:val="00A35656"/>
    <w:rsid w:val="00A37FC8"/>
    <w:rsid w:val="00A46A01"/>
    <w:rsid w:val="00A4792B"/>
    <w:rsid w:val="00A47971"/>
    <w:rsid w:val="00A5202E"/>
    <w:rsid w:val="00A525B3"/>
    <w:rsid w:val="00A534AC"/>
    <w:rsid w:val="00A54170"/>
    <w:rsid w:val="00A56B09"/>
    <w:rsid w:val="00A62022"/>
    <w:rsid w:val="00A622AB"/>
    <w:rsid w:val="00A63F62"/>
    <w:rsid w:val="00A65DF9"/>
    <w:rsid w:val="00A662ED"/>
    <w:rsid w:val="00A67D93"/>
    <w:rsid w:val="00A70073"/>
    <w:rsid w:val="00A72984"/>
    <w:rsid w:val="00A73336"/>
    <w:rsid w:val="00A750EE"/>
    <w:rsid w:val="00A80801"/>
    <w:rsid w:val="00A81648"/>
    <w:rsid w:val="00AB1F02"/>
    <w:rsid w:val="00AB2AB2"/>
    <w:rsid w:val="00AB78FC"/>
    <w:rsid w:val="00AC4324"/>
    <w:rsid w:val="00AC5B2B"/>
    <w:rsid w:val="00AC6553"/>
    <w:rsid w:val="00AD0A96"/>
    <w:rsid w:val="00AD0B7F"/>
    <w:rsid w:val="00AD27E5"/>
    <w:rsid w:val="00AD41BC"/>
    <w:rsid w:val="00AD4528"/>
    <w:rsid w:val="00AD7908"/>
    <w:rsid w:val="00AE1ABD"/>
    <w:rsid w:val="00AE51F3"/>
    <w:rsid w:val="00AE7869"/>
    <w:rsid w:val="00B0363A"/>
    <w:rsid w:val="00B1115B"/>
    <w:rsid w:val="00B118DE"/>
    <w:rsid w:val="00B11D69"/>
    <w:rsid w:val="00B13272"/>
    <w:rsid w:val="00B14C3D"/>
    <w:rsid w:val="00B15509"/>
    <w:rsid w:val="00B3107B"/>
    <w:rsid w:val="00B3263A"/>
    <w:rsid w:val="00B3327D"/>
    <w:rsid w:val="00B35F31"/>
    <w:rsid w:val="00B402C1"/>
    <w:rsid w:val="00B41FFA"/>
    <w:rsid w:val="00B449DC"/>
    <w:rsid w:val="00B51D43"/>
    <w:rsid w:val="00B556FA"/>
    <w:rsid w:val="00B56C47"/>
    <w:rsid w:val="00B57BE1"/>
    <w:rsid w:val="00B60FAB"/>
    <w:rsid w:val="00B6431C"/>
    <w:rsid w:val="00B67CE7"/>
    <w:rsid w:val="00B716B2"/>
    <w:rsid w:val="00B723AB"/>
    <w:rsid w:val="00B8044E"/>
    <w:rsid w:val="00B80BB6"/>
    <w:rsid w:val="00B83225"/>
    <w:rsid w:val="00B83C10"/>
    <w:rsid w:val="00BA1C6C"/>
    <w:rsid w:val="00BA27A6"/>
    <w:rsid w:val="00BB1867"/>
    <w:rsid w:val="00BB22C7"/>
    <w:rsid w:val="00BB7BA4"/>
    <w:rsid w:val="00BB7C97"/>
    <w:rsid w:val="00BC1690"/>
    <w:rsid w:val="00BC4020"/>
    <w:rsid w:val="00BC4DAA"/>
    <w:rsid w:val="00BC5077"/>
    <w:rsid w:val="00BD702F"/>
    <w:rsid w:val="00BD77F3"/>
    <w:rsid w:val="00BF00ED"/>
    <w:rsid w:val="00BF1D41"/>
    <w:rsid w:val="00BF684A"/>
    <w:rsid w:val="00C02658"/>
    <w:rsid w:val="00C219ED"/>
    <w:rsid w:val="00C24487"/>
    <w:rsid w:val="00C3304A"/>
    <w:rsid w:val="00C353BE"/>
    <w:rsid w:val="00C35E0A"/>
    <w:rsid w:val="00C368F3"/>
    <w:rsid w:val="00C471A9"/>
    <w:rsid w:val="00C5277D"/>
    <w:rsid w:val="00C55382"/>
    <w:rsid w:val="00C5697E"/>
    <w:rsid w:val="00C65CC3"/>
    <w:rsid w:val="00C66F24"/>
    <w:rsid w:val="00C76FF1"/>
    <w:rsid w:val="00C831A3"/>
    <w:rsid w:val="00C8372B"/>
    <w:rsid w:val="00C903B5"/>
    <w:rsid w:val="00C91A41"/>
    <w:rsid w:val="00C925FA"/>
    <w:rsid w:val="00C96E95"/>
    <w:rsid w:val="00CA294D"/>
    <w:rsid w:val="00CA709F"/>
    <w:rsid w:val="00CB431D"/>
    <w:rsid w:val="00CB5070"/>
    <w:rsid w:val="00CB72F3"/>
    <w:rsid w:val="00CC77D0"/>
    <w:rsid w:val="00CE4A15"/>
    <w:rsid w:val="00CE5C8A"/>
    <w:rsid w:val="00CE6813"/>
    <w:rsid w:val="00CE6CF9"/>
    <w:rsid w:val="00CE6F0A"/>
    <w:rsid w:val="00CF38BF"/>
    <w:rsid w:val="00CF4730"/>
    <w:rsid w:val="00CF6E77"/>
    <w:rsid w:val="00D0118D"/>
    <w:rsid w:val="00D0429E"/>
    <w:rsid w:val="00D079A7"/>
    <w:rsid w:val="00D11D44"/>
    <w:rsid w:val="00D11F48"/>
    <w:rsid w:val="00D12A1D"/>
    <w:rsid w:val="00D160BF"/>
    <w:rsid w:val="00D16900"/>
    <w:rsid w:val="00D24361"/>
    <w:rsid w:val="00D272B9"/>
    <w:rsid w:val="00D40118"/>
    <w:rsid w:val="00D411FF"/>
    <w:rsid w:val="00D470D7"/>
    <w:rsid w:val="00D5362D"/>
    <w:rsid w:val="00D61A8B"/>
    <w:rsid w:val="00D64786"/>
    <w:rsid w:val="00D71176"/>
    <w:rsid w:val="00D73C6C"/>
    <w:rsid w:val="00D92141"/>
    <w:rsid w:val="00D92730"/>
    <w:rsid w:val="00DA0C05"/>
    <w:rsid w:val="00DA0D50"/>
    <w:rsid w:val="00DA30CA"/>
    <w:rsid w:val="00DA460C"/>
    <w:rsid w:val="00DB0A7C"/>
    <w:rsid w:val="00DB457B"/>
    <w:rsid w:val="00DB7134"/>
    <w:rsid w:val="00DC054A"/>
    <w:rsid w:val="00DC13C0"/>
    <w:rsid w:val="00DD0448"/>
    <w:rsid w:val="00DD0957"/>
    <w:rsid w:val="00DE6DB9"/>
    <w:rsid w:val="00DE74FD"/>
    <w:rsid w:val="00DF4A54"/>
    <w:rsid w:val="00E0F273"/>
    <w:rsid w:val="00E145D2"/>
    <w:rsid w:val="00E16279"/>
    <w:rsid w:val="00E17E3C"/>
    <w:rsid w:val="00E21463"/>
    <w:rsid w:val="00E26EA2"/>
    <w:rsid w:val="00E348E1"/>
    <w:rsid w:val="00E36D7F"/>
    <w:rsid w:val="00E37F72"/>
    <w:rsid w:val="00E40155"/>
    <w:rsid w:val="00E40E76"/>
    <w:rsid w:val="00E471AF"/>
    <w:rsid w:val="00E4760C"/>
    <w:rsid w:val="00E50AC9"/>
    <w:rsid w:val="00E50ACB"/>
    <w:rsid w:val="00E57B80"/>
    <w:rsid w:val="00E64111"/>
    <w:rsid w:val="00E65692"/>
    <w:rsid w:val="00E65EC1"/>
    <w:rsid w:val="00E66A1F"/>
    <w:rsid w:val="00E70FFF"/>
    <w:rsid w:val="00E72169"/>
    <w:rsid w:val="00E723FD"/>
    <w:rsid w:val="00E75551"/>
    <w:rsid w:val="00E8589B"/>
    <w:rsid w:val="00E910EC"/>
    <w:rsid w:val="00E9357F"/>
    <w:rsid w:val="00E93C14"/>
    <w:rsid w:val="00E93F06"/>
    <w:rsid w:val="00E95D0B"/>
    <w:rsid w:val="00E95DCF"/>
    <w:rsid w:val="00EA2B75"/>
    <w:rsid w:val="00EA47DA"/>
    <w:rsid w:val="00EA6B9A"/>
    <w:rsid w:val="00EC1747"/>
    <w:rsid w:val="00EC523B"/>
    <w:rsid w:val="00EC5325"/>
    <w:rsid w:val="00EC796A"/>
    <w:rsid w:val="00ED2F8D"/>
    <w:rsid w:val="00EE09C7"/>
    <w:rsid w:val="00EE0D33"/>
    <w:rsid w:val="00EF088F"/>
    <w:rsid w:val="00EF1546"/>
    <w:rsid w:val="00EF1684"/>
    <w:rsid w:val="00EF320A"/>
    <w:rsid w:val="00EF418E"/>
    <w:rsid w:val="00EF6DAB"/>
    <w:rsid w:val="00F134BD"/>
    <w:rsid w:val="00F14507"/>
    <w:rsid w:val="00F15B9E"/>
    <w:rsid w:val="00F15C56"/>
    <w:rsid w:val="00F2055D"/>
    <w:rsid w:val="00F20617"/>
    <w:rsid w:val="00F20A02"/>
    <w:rsid w:val="00F22CE5"/>
    <w:rsid w:val="00F25B81"/>
    <w:rsid w:val="00F27C05"/>
    <w:rsid w:val="00F27D7A"/>
    <w:rsid w:val="00F31F40"/>
    <w:rsid w:val="00F336E1"/>
    <w:rsid w:val="00F37C88"/>
    <w:rsid w:val="00F4081D"/>
    <w:rsid w:val="00F43176"/>
    <w:rsid w:val="00F43245"/>
    <w:rsid w:val="00F433F3"/>
    <w:rsid w:val="00F44347"/>
    <w:rsid w:val="00F470CD"/>
    <w:rsid w:val="00F50E3E"/>
    <w:rsid w:val="00F520CA"/>
    <w:rsid w:val="00F63A00"/>
    <w:rsid w:val="00F75728"/>
    <w:rsid w:val="00F80EFC"/>
    <w:rsid w:val="00F82971"/>
    <w:rsid w:val="00F84F14"/>
    <w:rsid w:val="00F8595F"/>
    <w:rsid w:val="00F949A1"/>
    <w:rsid w:val="00F949B5"/>
    <w:rsid w:val="00FA7255"/>
    <w:rsid w:val="00FB099D"/>
    <w:rsid w:val="00FB7255"/>
    <w:rsid w:val="00FC349D"/>
    <w:rsid w:val="00FC565E"/>
    <w:rsid w:val="00FC6738"/>
    <w:rsid w:val="00FD0B85"/>
    <w:rsid w:val="00FD1977"/>
    <w:rsid w:val="00FF6B89"/>
    <w:rsid w:val="077F2E2E"/>
    <w:rsid w:val="0AA64E45"/>
    <w:rsid w:val="0C0C4002"/>
    <w:rsid w:val="1776E591"/>
    <w:rsid w:val="18C7A18B"/>
    <w:rsid w:val="19F02AE7"/>
    <w:rsid w:val="1B6E4BB1"/>
    <w:rsid w:val="1C7F297F"/>
    <w:rsid w:val="1DD9569B"/>
    <w:rsid w:val="1E005B50"/>
    <w:rsid w:val="1F2F6423"/>
    <w:rsid w:val="1F46DFCF"/>
    <w:rsid w:val="2191C81D"/>
    <w:rsid w:val="2227344D"/>
    <w:rsid w:val="225E96F8"/>
    <w:rsid w:val="22E9BEA3"/>
    <w:rsid w:val="26E55C86"/>
    <w:rsid w:val="27406616"/>
    <w:rsid w:val="277083B8"/>
    <w:rsid w:val="28B3FE43"/>
    <w:rsid w:val="295269AA"/>
    <w:rsid w:val="2C1DEC69"/>
    <w:rsid w:val="2D424A10"/>
    <w:rsid w:val="333BE002"/>
    <w:rsid w:val="346C5BC3"/>
    <w:rsid w:val="3815A9E0"/>
    <w:rsid w:val="38CE5D37"/>
    <w:rsid w:val="3942AD5C"/>
    <w:rsid w:val="401FC190"/>
    <w:rsid w:val="40446CE7"/>
    <w:rsid w:val="41A27E5A"/>
    <w:rsid w:val="41CA319E"/>
    <w:rsid w:val="41F3C2FC"/>
    <w:rsid w:val="44A6B395"/>
    <w:rsid w:val="4634F608"/>
    <w:rsid w:val="47791A37"/>
    <w:rsid w:val="4920C3C7"/>
    <w:rsid w:val="4941D8E6"/>
    <w:rsid w:val="519439D5"/>
    <w:rsid w:val="52E36577"/>
    <w:rsid w:val="53D095B6"/>
    <w:rsid w:val="57D3E8E1"/>
    <w:rsid w:val="591F57EE"/>
    <w:rsid w:val="592F116C"/>
    <w:rsid w:val="5A007F60"/>
    <w:rsid w:val="5BA59C7C"/>
    <w:rsid w:val="5BBFC57D"/>
    <w:rsid w:val="5BE75DF7"/>
    <w:rsid w:val="5EE5C629"/>
    <w:rsid w:val="62635C1C"/>
    <w:rsid w:val="638629F1"/>
    <w:rsid w:val="66BD2E21"/>
    <w:rsid w:val="678379BD"/>
    <w:rsid w:val="6B235443"/>
    <w:rsid w:val="6B930CE1"/>
    <w:rsid w:val="6D62B147"/>
    <w:rsid w:val="775EF104"/>
    <w:rsid w:val="77B4FED5"/>
    <w:rsid w:val="78BD5EBA"/>
    <w:rsid w:val="7911A7B2"/>
    <w:rsid w:val="7DFC6605"/>
    <w:rsid w:val="7E27E2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CAAC8"/>
  <w15:chartTrackingRefBased/>
  <w15:docId w15:val="{462B7859-05A8-42CC-9FE4-99CE2796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A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3A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3A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A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3A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A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A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A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A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A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A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A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A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A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A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A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A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A00"/>
    <w:rPr>
      <w:rFonts w:eastAsiaTheme="majorEastAsia" w:cstheme="majorBidi"/>
      <w:color w:val="272727" w:themeColor="text1" w:themeTint="D8"/>
    </w:rPr>
  </w:style>
  <w:style w:type="paragraph" w:styleId="Title">
    <w:name w:val="Title"/>
    <w:basedOn w:val="Normal"/>
    <w:next w:val="Normal"/>
    <w:link w:val="TitleChar"/>
    <w:uiPriority w:val="10"/>
    <w:qFormat/>
    <w:rsid w:val="00F63A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A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A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A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A00"/>
    <w:pPr>
      <w:spacing w:before="160"/>
      <w:jc w:val="center"/>
    </w:pPr>
    <w:rPr>
      <w:i/>
      <w:iCs/>
      <w:color w:val="404040" w:themeColor="text1" w:themeTint="BF"/>
    </w:rPr>
  </w:style>
  <w:style w:type="character" w:customStyle="1" w:styleId="QuoteChar">
    <w:name w:val="Quote Char"/>
    <w:basedOn w:val="DefaultParagraphFont"/>
    <w:link w:val="Quote"/>
    <w:uiPriority w:val="29"/>
    <w:rsid w:val="00F63A00"/>
    <w:rPr>
      <w:i/>
      <w:iCs/>
      <w:color w:val="404040" w:themeColor="text1" w:themeTint="BF"/>
    </w:rPr>
  </w:style>
  <w:style w:type="paragraph" w:styleId="ListParagraph">
    <w:name w:val="List Paragraph"/>
    <w:basedOn w:val="Normal"/>
    <w:uiPriority w:val="34"/>
    <w:qFormat/>
    <w:rsid w:val="00F63A00"/>
    <w:pPr>
      <w:ind w:left="720"/>
      <w:contextualSpacing/>
    </w:pPr>
  </w:style>
  <w:style w:type="character" w:styleId="IntenseEmphasis">
    <w:name w:val="Intense Emphasis"/>
    <w:basedOn w:val="DefaultParagraphFont"/>
    <w:uiPriority w:val="21"/>
    <w:qFormat/>
    <w:rsid w:val="00F63A00"/>
    <w:rPr>
      <w:i/>
      <w:iCs/>
      <w:color w:val="0F4761" w:themeColor="accent1" w:themeShade="BF"/>
    </w:rPr>
  </w:style>
  <w:style w:type="paragraph" w:styleId="IntenseQuote">
    <w:name w:val="Intense Quote"/>
    <w:basedOn w:val="Normal"/>
    <w:next w:val="Normal"/>
    <w:link w:val="IntenseQuoteChar"/>
    <w:uiPriority w:val="30"/>
    <w:qFormat/>
    <w:rsid w:val="00F63A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A00"/>
    <w:rPr>
      <w:i/>
      <w:iCs/>
      <w:color w:val="0F4761" w:themeColor="accent1" w:themeShade="BF"/>
    </w:rPr>
  </w:style>
  <w:style w:type="character" w:styleId="IntenseReference">
    <w:name w:val="Intense Reference"/>
    <w:basedOn w:val="DefaultParagraphFont"/>
    <w:uiPriority w:val="32"/>
    <w:qFormat/>
    <w:rsid w:val="00F63A00"/>
    <w:rPr>
      <w:b/>
      <w:bCs/>
      <w:smallCaps/>
      <w:color w:val="0F4761" w:themeColor="accent1" w:themeShade="BF"/>
      <w:spacing w:val="5"/>
    </w:rPr>
  </w:style>
  <w:style w:type="table" w:styleId="TableGrid">
    <w:name w:val="Table Grid"/>
    <w:basedOn w:val="TableNormal"/>
    <w:uiPriority w:val="39"/>
    <w:rsid w:val="00F6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5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CB3"/>
  </w:style>
  <w:style w:type="paragraph" w:styleId="Footer">
    <w:name w:val="footer"/>
    <w:basedOn w:val="Normal"/>
    <w:link w:val="FooterChar"/>
    <w:uiPriority w:val="99"/>
    <w:unhideWhenUsed/>
    <w:rsid w:val="008D5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CB3"/>
  </w:style>
  <w:style w:type="paragraph" w:styleId="NormalWeb">
    <w:name w:val="Normal (Web)"/>
    <w:basedOn w:val="Normal"/>
    <w:uiPriority w:val="99"/>
    <w:semiHidden/>
    <w:unhideWhenUsed/>
    <w:rsid w:val="0013413F"/>
    <w:rPr>
      <w:rFonts w:ascii="Times New Roman" w:hAnsi="Times New Roman" w:cs="Times New Roman"/>
      <w:sz w:val="24"/>
      <w:szCs w:val="24"/>
    </w:rPr>
  </w:style>
  <w:style w:type="character" w:styleId="Hyperlink">
    <w:name w:val="Hyperlink"/>
    <w:basedOn w:val="DefaultParagraphFont"/>
    <w:uiPriority w:val="99"/>
    <w:unhideWhenUsed/>
    <w:rsid w:val="0013413F"/>
    <w:rPr>
      <w:color w:val="467886" w:themeColor="hyperlink"/>
      <w:u w:val="single"/>
    </w:rPr>
  </w:style>
  <w:style w:type="character" w:styleId="UnresolvedMention">
    <w:name w:val="Unresolved Mention"/>
    <w:basedOn w:val="DefaultParagraphFont"/>
    <w:uiPriority w:val="99"/>
    <w:semiHidden/>
    <w:unhideWhenUsed/>
    <w:rsid w:val="0013413F"/>
    <w:rPr>
      <w:color w:val="605E5C"/>
      <w:shd w:val="clear" w:color="auto" w:fill="E1DFDD"/>
    </w:rPr>
  </w:style>
  <w:style w:type="paragraph" w:styleId="BodyText">
    <w:name w:val="Body Text"/>
    <w:basedOn w:val="Normal"/>
    <w:link w:val="BodyTextChar"/>
    <w:qFormat/>
    <w:rsid w:val="008958D7"/>
    <w:pPr>
      <w:spacing w:before="200" w:after="200" w:line="240" w:lineRule="auto"/>
    </w:pPr>
    <w:rPr>
      <w:rFonts w:ascii="Arial" w:eastAsia="Times" w:hAnsi="Arial" w:cs="Arial"/>
      <w:kern w:val="0"/>
      <w:sz w:val="20"/>
      <w:szCs w:val="20"/>
      <w14:ligatures w14:val="none"/>
    </w:rPr>
  </w:style>
  <w:style w:type="character" w:customStyle="1" w:styleId="BodyTextChar">
    <w:name w:val="Body Text Char"/>
    <w:basedOn w:val="DefaultParagraphFont"/>
    <w:link w:val="BodyText"/>
    <w:rsid w:val="008958D7"/>
    <w:rPr>
      <w:rFonts w:ascii="Arial" w:eastAsia="Times" w:hAnsi="Arial" w:cs="Arial"/>
      <w:kern w:val="0"/>
      <w:sz w:val="20"/>
      <w:szCs w:val="20"/>
      <w14:ligatures w14:val="none"/>
    </w:rPr>
  </w:style>
  <w:style w:type="character" w:styleId="Strong">
    <w:name w:val="Strong"/>
    <w:basedOn w:val="DefaultParagraphFont"/>
    <w:uiPriority w:val="22"/>
    <w:qFormat/>
    <w:rsid w:val="00FD1977"/>
    <w:rPr>
      <w:b/>
      <w:bCs/>
    </w:rPr>
  </w:style>
  <w:style w:type="paragraph" w:styleId="Revision">
    <w:name w:val="Revision"/>
    <w:hidden/>
    <w:uiPriority w:val="99"/>
    <w:semiHidden/>
    <w:rsid w:val="004149A8"/>
    <w:pPr>
      <w:spacing w:after="0" w:line="240" w:lineRule="auto"/>
    </w:pPr>
  </w:style>
  <w:style w:type="character" w:styleId="CommentReference">
    <w:name w:val="annotation reference"/>
    <w:basedOn w:val="DefaultParagraphFont"/>
    <w:uiPriority w:val="99"/>
    <w:semiHidden/>
    <w:unhideWhenUsed/>
    <w:rsid w:val="00546E65"/>
    <w:rPr>
      <w:sz w:val="16"/>
      <w:szCs w:val="16"/>
    </w:rPr>
  </w:style>
  <w:style w:type="paragraph" w:styleId="CommentText">
    <w:name w:val="annotation text"/>
    <w:basedOn w:val="Normal"/>
    <w:link w:val="CommentTextChar"/>
    <w:uiPriority w:val="99"/>
    <w:unhideWhenUsed/>
    <w:rsid w:val="00546E65"/>
    <w:pPr>
      <w:spacing w:line="240" w:lineRule="auto"/>
    </w:pPr>
    <w:rPr>
      <w:sz w:val="20"/>
      <w:szCs w:val="20"/>
    </w:rPr>
  </w:style>
  <w:style w:type="character" w:customStyle="1" w:styleId="CommentTextChar">
    <w:name w:val="Comment Text Char"/>
    <w:basedOn w:val="DefaultParagraphFont"/>
    <w:link w:val="CommentText"/>
    <w:uiPriority w:val="99"/>
    <w:rsid w:val="00546E65"/>
    <w:rPr>
      <w:sz w:val="20"/>
      <w:szCs w:val="20"/>
    </w:rPr>
  </w:style>
  <w:style w:type="paragraph" w:styleId="CommentSubject">
    <w:name w:val="annotation subject"/>
    <w:basedOn w:val="CommentText"/>
    <w:next w:val="CommentText"/>
    <w:link w:val="CommentSubjectChar"/>
    <w:uiPriority w:val="99"/>
    <w:semiHidden/>
    <w:unhideWhenUsed/>
    <w:rsid w:val="00546E65"/>
    <w:rPr>
      <w:b/>
      <w:bCs/>
    </w:rPr>
  </w:style>
  <w:style w:type="character" w:customStyle="1" w:styleId="CommentSubjectChar">
    <w:name w:val="Comment Subject Char"/>
    <w:basedOn w:val="CommentTextChar"/>
    <w:link w:val="CommentSubject"/>
    <w:uiPriority w:val="99"/>
    <w:semiHidden/>
    <w:rsid w:val="00546E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251004">
      <w:bodyDiv w:val="1"/>
      <w:marLeft w:val="0"/>
      <w:marRight w:val="0"/>
      <w:marTop w:val="0"/>
      <w:marBottom w:val="0"/>
      <w:divBdr>
        <w:top w:val="none" w:sz="0" w:space="0" w:color="auto"/>
        <w:left w:val="none" w:sz="0" w:space="0" w:color="auto"/>
        <w:bottom w:val="none" w:sz="0" w:space="0" w:color="auto"/>
        <w:right w:val="none" w:sz="0" w:space="0" w:color="auto"/>
      </w:divBdr>
    </w:div>
    <w:div w:id="103889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onsultations.greatercambridgeplanning.org/sites/gcp/files/2025-12/EBGCLPCESDec2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2a278e-1a2e-43bb-bf55-a34f58fff0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1902CED38AC74A9F772AB7467C7B6B" ma:contentTypeVersion="1" ma:contentTypeDescription="Create a new document." ma:contentTypeScope="" ma:versionID="1b213bbba4beb8ff39b8d500cba080e9">
  <xsd:schema xmlns:xsd="http://www.w3.org/2001/XMLSchema" xmlns:xs="http://www.w3.org/2001/XMLSchema" xmlns:p="http://schemas.microsoft.com/office/2006/metadata/properties" xmlns:ns2="392a278e-1a2e-43bb-bf55-a34f58fff026" targetNamespace="http://schemas.microsoft.com/office/2006/metadata/properties" ma:root="true" ma:fieldsID="f1f485ae4fc45a13f4c9b8331d58faf1" ns2:_="">
    <xsd:import namespace="392a278e-1a2e-43bb-bf55-a34f58fff026"/>
    <xsd:element name="properties">
      <xsd:complexType>
        <xsd:sequence>
          <xsd:element name="documentManagement">
            <xsd:complexType>
              <xsd:all>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a278e-1a2e-43bb-bf55-a34f58fff026" elementFormDefault="qualified">
    <xsd:import namespace="http://schemas.microsoft.com/office/2006/documentManagement/types"/>
    <xsd:import namespace="http://schemas.microsoft.com/office/infopath/2007/PartnerControls"/>
    <xsd:element name="lcf76f155ced4ddcb4097134ff3c332f" ma:index="8"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9C0673-3F4D-4FCD-9B5D-C05A66AEF783}">
  <ds:schemaRefs>
    <ds:schemaRef ds:uri="http://schemas.microsoft.com/sharepoint/v3/contenttype/forms"/>
  </ds:schemaRefs>
</ds:datastoreItem>
</file>

<file path=customXml/itemProps2.xml><?xml version="1.0" encoding="utf-8"?>
<ds:datastoreItem xmlns:ds="http://schemas.openxmlformats.org/officeDocument/2006/customXml" ds:itemID="{4E019413-3A21-484F-B502-B5571ED14430}">
  <ds:schemaRefs>
    <ds:schemaRef ds:uri="http://schemas.microsoft.com/office/2006/metadata/properties"/>
    <ds:schemaRef ds:uri="http://schemas.microsoft.com/office/infopath/2007/PartnerControls"/>
    <ds:schemaRef ds:uri="392a278e-1a2e-43bb-bf55-a34f58fff026"/>
  </ds:schemaRefs>
</ds:datastoreItem>
</file>

<file path=customXml/itemProps3.xml><?xml version="1.0" encoding="utf-8"?>
<ds:datastoreItem xmlns:ds="http://schemas.openxmlformats.org/officeDocument/2006/customXml" ds:itemID="{7F060573-5DF9-479E-9079-8C8E65A6E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a278e-1a2e-43bb-bf55-a34f58fff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1109</Words>
  <Characters>6326</Characters>
  <Application>Microsoft Office Word</Application>
  <DocSecurity>0</DocSecurity>
  <Lines>52</Lines>
  <Paragraphs>14</Paragraphs>
  <ScaleCrop>false</ScaleCrop>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Parry</dc:creator>
  <cp:keywords/>
  <dc:description/>
  <cp:lastModifiedBy>Anthony Hollingsworth</cp:lastModifiedBy>
  <cp:revision>124</cp:revision>
  <dcterms:created xsi:type="dcterms:W3CDTF">2026-01-28T10:21:00Z</dcterms:created>
  <dcterms:modified xsi:type="dcterms:W3CDTF">2026-01-29T17:05:00Z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0x0101005F1902CED38AC74A9F772AB7467C7B6B</vt:lpwstr>
  </property>
  <property fmtid="{D5CDD505-2E9C-101B-9397-08002B2CF9AE}" pid="3" name="MediaServiceImageTags">
    <vt:lpwstr/>
  </property>
  <property fmtid="{D5CDD505-2E9C-101B-9397-08002B2CF9AE}" pid="4" name="ob290d30d0ff4bc9874ad43bede3a1d9">
    <vt:lpwstr/>
  </property>
  <property fmtid="{D5CDD505-2E9C-101B-9397-08002B2CF9AE}" pid="5" name="Discipline">
    <vt:lpwstr/>
  </property>
  <property fmtid="{D5CDD505-2E9C-101B-9397-08002B2CF9AE}" pid="6" name="TaxCatchAll">
    <vt:lpwstr/>
  </property>
  <property fmtid="{D5CDD505-2E9C-101B-9397-08002B2CF9AE}" pid="7" name="MSIP_Label_13eddc48-28c0-4271-9f54-3f68e158cc0d_Enabled">
    <vt:lpwstr>true</vt:lpwstr>
  </property>
  <property fmtid="{D5CDD505-2E9C-101B-9397-08002B2CF9AE}" pid="8" name="MSIP_Label_13eddc48-28c0-4271-9f54-3f68e158cc0d_SetDate">
    <vt:lpwstr>2026-01-23T15:30:43Z</vt:lpwstr>
  </property>
  <property fmtid="{D5CDD505-2E9C-101B-9397-08002B2CF9AE}" pid="9" name="MSIP_Label_13eddc48-28c0-4271-9f54-3f68e158cc0d_Method">
    <vt:lpwstr>Standard</vt:lpwstr>
  </property>
  <property fmtid="{D5CDD505-2E9C-101B-9397-08002B2CF9AE}" pid="10" name="MSIP_Label_13eddc48-28c0-4271-9f54-3f68e158cc0d_Name">
    <vt:lpwstr>Official</vt:lpwstr>
  </property>
  <property fmtid="{D5CDD505-2E9C-101B-9397-08002B2CF9AE}" pid="11" name="MSIP_Label_13eddc48-28c0-4271-9f54-3f68e158cc0d_SiteId">
    <vt:lpwstr>faa8e269-0811-4538-82e7-4d29009219bf</vt:lpwstr>
  </property>
  <property fmtid="{D5CDD505-2E9C-101B-9397-08002B2CF9AE}" pid="12" name="MSIP_Label_13eddc48-28c0-4271-9f54-3f68e158cc0d_ActionId">
    <vt:lpwstr>2c9fcf6d-bf8f-4b27-86a8-80bda7b898a5</vt:lpwstr>
  </property>
  <property fmtid="{D5CDD505-2E9C-101B-9397-08002B2CF9AE}" pid="13" name="MSIP_Label_13eddc48-28c0-4271-9f54-3f68e158cc0d_ContentBits">
    <vt:lpwstr>3</vt:lpwstr>
  </property>
</Properties>
</file>