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63C0F27E" w:rsidR="00A535CA" w:rsidRDefault="004A5F0A" w:rsidP="00A535CA">
      <w:pPr>
        <w:pStyle w:val="Heading2"/>
      </w:pPr>
      <w:r>
        <w:t>40</w:t>
      </w:r>
      <w:r w:rsidR="00765F6F">
        <w:t>230</w:t>
      </w:r>
      <w:r w:rsidR="00004ADD">
        <w:t xml:space="preserve"> </w:t>
      </w:r>
      <w:r w:rsidR="00A535CA">
        <w:t xml:space="preserve">– </w:t>
      </w:r>
      <w:r w:rsidR="00765F6F" w:rsidRPr="00765F6F">
        <w:t>Land off Poplar Farm Close, Bassingbourn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7C23C6A7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0388F0AE" w14:textId="579CD770" w:rsidR="00765F6F" w:rsidRDefault="00765F6F" w:rsidP="00E618A9">
      <w:pPr>
        <w:pStyle w:val="ListParagraph"/>
        <w:numPr>
          <w:ilvl w:val="0"/>
          <w:numId w:val="3"/>
        </w:numPr>
      </w:pPr>
      <w:r>
        <w:t>Additional proposed site and access plans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13D9194F" w14:textId="39F32C98" w:rsidR="00004ADD" w:rsidRPr="00765F6F" w:rsidRDefault="00765F6F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Access Arrangement</w:t>
      </w:r>
    </w:p>
    <w:p w14:paraId="41029291" w14:textId="1C65B53D" w:rsidR="00765F6F" w:rsidRPr="00765F6F" w:rsidRDefault="00765F6F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Flood Risk and Drainage Review</w:t>
      </w:r>
    </w:p>
    <w:p w14:paraId="2702D4B2" w14:textId="77777777" w:rsidR="00765F6F" w:rsidRPr="00765F6F" w:rsidRDefault="00765F6F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rPr>
          <w:rFonts w:eastAsiaTheme="minorEastAsia" w:cs="Arial"/>
          <w:szCs w:val="24"/>
        </w:rPr>
        <w:t>Initial Observations</w:t>
      </w:r>
    </w:p>
    <w:p w14:paraId="73BB1906" w14:textId="77777777" w:rsidR="00765F6F" w:rsidRPr="00765F6F" w:rsidRDefault="00765F6F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rPr>
          <w:rFonts w:eastAsiaTheme="minorEastAsia" w:cs="Arial"/>
          <w:szCs w:val="24"/>
        </w:rPr>
        <w:t>Letter from Landowner</w:t>
      </w:r>
    </w:p>
    <w:p w14:paraId="69632E7E" w14:textId="77777777" w:rsidR="00765F6F" w:rsidRPr="00765F6F" w:rsidRDefault="00765F6F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rPr>
          <w:rFonts w:eastAsiaTheme="minorEastAsia" w:cs="Arial"/>
          <w:szCs w:val="24"/>
        </w:rPr>
        <w:t>Site Location Plan</w:t>
      </w:r>
    </w:p>
    <w:p w14:paraId="08A2035F" w14:textId="77777777" w:rsidR="00765F6F" w:rsidRPr="00765F6F" w:rsidRDefault="00765F6F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rPr>
          <w:rFonts w:eastAsiaTheme="minorEastAsia" w:cs="Arial"/>
          <w:szCs w:val="24"/>
        </w:rPr>
        <w:t>Transport and Infrastructure Review</w:t>
      </w:r>
    </w:p>
    <w:p w14:paraId="201A103E" w14:textId="15E7C17F" w:rsidR="00765F6F" w:rsidRDefault="00765F6F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rPr>
          <w:rFonts w:eastAsiaTheme="minorEastAsia" w:cs="Arial"/>
          <w:szCs w:val="24"/>
        </w:rPr>
        <w:t>Vision Document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76F6EF2A" w:rsidR="121C2751" w:rsidRPr="00765F6F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</w:p>
    <w:p w14:paraId="7A4209C7" w14:textId="4C3375C5" w:rsidR="00765F6F" w:rsidRPr="00765F6F" w:rsidRDefault="00765F6F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PO Call for Sites </w:t>
      </w:r>
      <w:r>
        <w:t>Public Highway Plan</w:t>
      </w:r>
    </w:p>
    <w:p w14:paraId="6D39D4CA" w14:textId="08518DEC" w:rsidR="00765F6F" w:rsidRPr="00765F6F" w:rsidRDefault="00765F6F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</w:t>
      </w:r>
      <w:r>
        <w:t xml:space="preserve"> Access Arrangements</w:t>
      </w:r>
    </w:p>
    <w:p w14:paraId="3BBE56A6" w14:textId="34505417" w:rsidR="00765F6F" w:rsidRDefault="00765F6F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</w:t>
      </w:r>
      <w:r>
        <w:t xml:space="preserve"> Proposed Site Layout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A5F0A"/>
    <w:rsid w:val="004F43E0"/>
    <w:rsid w:val="005D5060"/>
    <w:rsid w:val="005E52E3"/>
    <w:rsid w:val="00677AEF"/>
    <w:rsid w:val="006969DE"/>
    <w:rsid w:val="006A2CD5"/>
    <w:rsid w:val="006C0605"/>
    <w:rsid w:val="00710A9B"/>
    <w:rsid w:val="00765F6F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cf17ce6-9f37-411b-9d80-3806b070926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2047f3e-e38d-41e4-9a66-9a0d5ddcdd4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2022-05-27T08:27:00Z</dcterms:created>
  <dcterms:modified xsi:type="dcterms:W3CDTF">2022-05-27T08:27:00Z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